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búsqueda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04-03-2019 18:07:00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