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F398D" w14:textId="5D869DAD" w:rsidR="00410F64" w:rsidRPr="00410F64" w:rsidRDefault="00410F64" w:rsidP="00410F64">
      <w:pPr>
        <w:spacing w:after="0" w:line="240" w:lineRule="auto"/>
        <w:jc w:val="center"/>
        <w:rPr>
          <w:rFonts w:ascii="Times New Roman" w:eastAsia="Times New Roman" w:hAnsi="Times New Roman" w:cs="Times New Roman"/>
          <w:b/>
          <w:bCs/>
          <w:kern w:val="0"/>
          <w:sz w:val="32"/>
          <w:szCs w:val="32"/>
          <w14:ligatures w14:val="none"/>
        </w:rPr>
      </w:pPr>
      <w:r w:rsidRPr="00410F64">
        <w:rPr>
          <w:rFonts w:ascii="Times New Roman" w:eastAsia="Times New Roman" w:hAnsi="Times New Roman" w:cs="Times New Roman"/>
          <w:b/>
          <w:bCs/>
          <w:kern w:val="0"/>
          <w:sz w:val="32"/>
          <w:szCs w:val="32"/>
          <w14:ligatures w14:val="none"/>
        </w:rPr>
        <w:t>Preliminary research findings</w:t>
      </w:r>
    </w:p>
    <w:p w14:paraId="09CFDAC6" w14:textId="61D14C33" w:rsidR="00410F64" w:rsidRPr="00410F64" w:rsidRDefault="00410F64" w:rsidP="00410F64">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410F64">
        <w:rPr>
          <w:rFonts w:ascii="Times New Roman" w:eastAsia="Times New Roman" w:hAnsi="Times New Roman" w:cs="Times New Roman"/>
          <w:b/>
          <w:bCs/>
          <w:color w:val="000000"/>
          <w:kern w:val="0"/>
          <w14:ligatures w14:val="none"/>
        </w:rPr>
        <w:t>1. NIST AI RMF</w:t>
      </w:r>
    </w:p>
    <w:p w14:paraId="06089DD9" w14:textId="32FCDC34"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The NIST AI RMF 1.0, published January 2023, is technology-agnostic and applicable across the entire AI lifecycle</w:t>
      </w:r>
      <w:r>
        <w:rPr>
          <w:rFonts w:ascii="Times New Roman" w:eastAsia="Times New Roman" w:hAnsi="Times New Roman" w:cs="Times New Roman"/>
          <w:color w:val="000000"/>
          <w:kern w:val="0"/>
          <w14:ligatures w14:val="none"/>
        </w:rPr>
        <w:t xml:space="preserve">, </w:t>
      </w:r>
      <w:r w:rsidRPr="00410F64">
        <w:rPr>
          <w:rFonts w:ascii="Times New Roman" w:eastAsia="Times New Roman" w:hAnsi="Times New Roman" w:cs="Times New Roman"/>
          <w:color w:val="000000"/>
          <w:kern w:val="0"/>
          <w14:ligatures w14:val="none"/>
        </w:rPr>
        <w:t>from problem framing to decommissioning. It is the de facto reference for trustworthy AI in the United States, widely adopted by federal agencies, regulators, and enterprises.</w:t>
      </w:r>
    </w:p>
    <w:p w14:paraId="139C3EFD" w14:textId="77777777" w:rsidR="00410F64" w:rsidRPr="00410F64" w:rsidRDefault="00410F64" w:rsidP="00D6060A">
      <w:pPr>
        <w:pStyle w:val="ListParagraph"/>
        <w:numPr>
          <w:ilvl w:val="0"/>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The framework is built around four core functions:</w:t>
      </w:r>
    </w:p>
    <w:p w14:paraId="7FEFDB9C" w14:textId="77777777" w:rsidR="00410F64" w:rsidRPr="00410F64" w:rsidRDefault="00410F64" w:rsidP="00D6060A">
      <w:pPr>
        <w:pStyle w:val="ListParagraph"/>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Govern: establish organizational accountability, policies, and oversight for AI risk. </w:t>
      </w:r>
    </w:p>
    <w:p w14:paraId="3209B87B" w14:textId="77777777" w:rsidR="00410F64" w:rsidRPr="00410F64" w:rsidRDefault="00410F64" w:rsidP="00D6060A">
      <w:pPr>
        <w:pStyle w:val="ListParagraph"/>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Map: establish the context and identify risks for a specific AI system. </w:t>
      </w:r>
    </w:p>
    <w:p w14:paraId="49C96FDC" w14:textId="77777777" w:rsidR="00410F64" w:rsidRPr="00410F64" w:rsidRDefault="00410F64" w:rsidP="00D6060A">
      <w:pPr>
        <w:pStyle w:val="ListParagraph"/>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Measure: analyze and track those risks. </w:t>
      </w:r>
    </w:p>
    <w:p w14:paraId="6C292961" w14:textId="25FF2F61" w:rsidR="00410F64" w:rsidRPr="00410F64" w:rsidRDefault="00410F64" w:rsidP="00D6060A">
      <w:pPr>
        <w:pStyle w:val="ListParagraph"/>
        <w:numPr>
          <w:ilvl w:val="1"/>
          <w:numId w:val="4"/>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Manage: allocate resources to treat risks.</w:t>
      </w:r>
    </w:p>
    <w:p w14:paraId="74E1B2AD" w14:textId="77777777" w:rsidR="00C144D1"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 xml:space="preserve">Critically for Northern Trust's use case: </w:t>
      </w:r>
    </w:p>
    <w:p w14:paraId="0225544B" w14:textId="7105B63A" w:rsidR="00410F64" w:rsidRPr="00410F64" w:rsidRDefault="00C144D1"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T</w:t>
      </w:r>
      <w:r w:rsidR="00410F64" w:rsidRPr="00410F64">
        <w:rPr>
          <w:rFonts w:ascii="Times New Roman" w:eastAsia="Times New Roman" w:hAnsi="Times New Roman" w:cs="Times New Roman"/>
          <w:color w:val="000000"/>
          <w:kern w:val="0"/>
          <w14:ligatures w14:val="none"/>
        </w:rPr>
        <w:t>he framework explicitly integrates AI risk management into existing enterprise risk management (ERM), IT governance, and SDLC processes with tooling for automated monitoring, reporting, and compliance tracking.</w:t>
      </w:r>
    </w:p>
    <w:p w14:paraId="6D1F83DB" w14:textId="77777777"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Also noteworthy: in July 2024, NIST released NIST-AI-600-1, a Generative AI Profile that helps organizations identify unique risks posed by generative AI. And in April 2026, NIST released a concept note for an AI RMF Profile specifically on Trustworthy AI in Critical Infrastructure.</w:t>
      </w:r>
    </w:p>
    <w:p w14:paraId="6D1254C1" w14:textId="77777777"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Key links:</w:t>
      </w:r>
    </w:p>
    <w:p w14:paraId="734A6BF8" w14:textId="77777777" w:rsidR="00410F64" w:rsidRPr="00410F64" w:rsidRDefault="00410F64" w:rsidP="00D6060A">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NIST AI RMF: https://www.nist.gov/itl/ai-risk-management-framework</w:t>
      </w:r>
    </w:p>
    <w:p w14:paraId="091CECAD" w14:textId="77777777" w:rsidR="00410F64" w:rsidRPr="00410F64" w:rsidRDefault="00410F64" w:rsidP="00D6060A">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NIST AI RMF Playbook: https://www.nist.gov/itl/ai-risk-management-framework/nist-ai-rmf-playbook</w:t>
      </w:r>
    </w:p>
    <w:p w14:paraId="35B06BC2" w14:textId="77777777" w:rsidR="00410F64" w:rsidRPr="00410F64" w:rsidRDefault="00410F64" w:rsidP="00D6060A">
      <w:pPr>
        <w:numPr>
          <w:ilvl w:val="0"/>
          <w:numId w:val="1"/>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GenAI Profile (NIST-AI-600-1): https://airc.nist.gov/Docs/1</w:t>
      </w:r>
    </w:p>
    <w:p w14:paraId="4C22D32F" w14:textId="074998E7" w:rsidR="00410F64" w:rsidRPr="00410F64" w:rsidRDefault="00410F64" w:rsidP="00D6060A">
      <w:pPr>
        <w:spacing w:after="0" w:line="240" w:lineRule="auto"/>
        <w:jc w:val="both"/>
        <w:rPr>
          <w:rFonts w:ascii="Times New Roman" w:eastAsia="Times New Roman" w:hAnsi="Times New Roman" w:cs="Times New Roman"/>
          <w:kern w:val="0"/>
          <w14:ligatures w14:val="none"/>
        </w:rPr>
      </w:pPr>
    </w:p>
    <w:p w14:paraId="6F0C8684" w14:textId="2D7B862C" w:rsidR="00410F64" w:rsidRPr="00410F64" w:rsidRDefault="00410F64" w:rsidP="00D6060A">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410F64">
        <w:rPr>
          <w:rFonts w:ascii="Times New Roman" w:eastAsia="Times New Roman" w:hAnsi="Times New Roman" w:cs="Times New Roman"/>
          <w:b/>
          <w:bCs/>
          <w:color w:val="000000"/>
          <w:kern w:val="0"/>
          <w14:ligatures w14:val="none"/>
        </w:rPr>
        <w:t xml:space="preserve">2. EU AI Act </w:t>
      </w:r>
    </w:p>
    <w:p w14:paraId="4E916AFE" w14:textId="77777777"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The EU AI Act (Regulation EU 2024/1689) came into force August 2024 with a two-year implementation period; most rules and obligations will be enacted after August 2026. Northern Trust, as a global custodian with EU operations, needs to be aware.</w:t>
      </w:r>
    </w:p>
    <w:p w14:paraId="3BC26179" w14:textId="295B59DB"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The AI Act expressly points to existing EU financial services laws</w:t>
      </w:r>
      <w:r>
        <w:rPr>
          <w:rFonts w:ascii="Times New Roman" w:eastAsia="Times New Roman" w:hAnsi="Times New Roman" w:cs="Times New Roman"/>
          <w:color w:val="000000"/>
          <w:kern w:val="0"/>
          <w14:ligatures w14:val="none"/>
        </w:rPr>
        <w:t>,</w:t>
      </w:r>
      <w:r w:rsidRPr="00410F64">
        <w:rPr>
          <w:rFonts w:ascii="Times New Roman" w:eastAsia="Times New Roman" w:hAnsi="Times New Roman" w:cs="Times New Roman"/>
          <w:color w:val="000000"/>
          <w:kern w:val="0"/>
          <w14:ligatures w14:val="none"/>
        </w:rPr>
        <w:t xml:space="preserve"> governance and risk management requirements are central to compliance. The existing authorities that supervise EU financial services law (EBA, ESMA, EIOPA) are designated to supervise AI Act implementation for financial services entities.</w:t>
      </w:r>
    </w:p>
    <w:p w14:paraId="2B223893" w14:textId="2D823C78"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lastRenderedPageBreak/>
        <w:t xml:space="preserve">Key tension to flag: the EBA's November 2025 mapping exercise concluded there are no significant contradictions between the EU AI Act and existing banking legislation, but </w:t>
      </w:r>
      <w:proofErr w:type="gramStart"/>
      <w:r w:rsidRPr="00410F64">
        <w:rPr>
          <w:rFonts w:ascii="Times New Roman" w:eastAsia="Times New Roman" w:hAnsi="Times New Roman" w:cs="Times New Roman"/>
          <w:color w:val="000000"/>
          <w:kern w:val="0"/>
          <w14:ligatures w14:val="none"/>
        </w:rPr>
        <w:t>compliance</w:t>
      </w:r>
      <w:proofErr w:type="gramEnd"/>
      <w:r w:rsidRPr="00410F64">
        <w:rPr>
          <w:rFonts w:ascii="Times New Roman" w:eastAsia="Times New Roman" w:hAnsi="Times New Roman" w:cs="Times New Roman"/>
          <w:color w:val="000000"/>
          <w:kern w:val="0"/>
          <w14:ligatures w14:val="none"/>
        </w:rPr>
        <w:t xml:space="preserve"> with prudential supervision does not automatically result in AI Act compliance</w:t>
      </w:r>
      <w:r>
        <w:rPr>
          <w:rFonts w:ascii="Times New Roman" w:eastAsia="Times New Roman" w:hAnsi="Times New Roman" w:cs="Times New Roman"/>
          <w:color w:val="000000"/>
          <w:kern w:val="0"/>
          <w14:ligatures w14:val="none"/>
        </w:rPr>
        <w:t>,</w:t>
      </w:r>
      <w:r w:rsidRPr="00410F64">
        <w:rPr>
          <w:rFonts w:ascii="Times New Roman" w:eastAsia="Times New Roman" w:hAnsi="Times New Roman" w:cs="Times New Roman"/>
          <w:color w:val="000000"/>
          <w:kern w:val="0"/>
          <w14:ligatures w14:val="none"/>
        </w:rPr>
        <w:t xml:space="preserve"> notably in human oversight, data governance, and cybersecurity.</w:t>
      </w:r>
    </w:p>
    <w:p w14:paraId="5AE11C2B" w14:textId="77777777"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Implementation timeline to know:</w:t>
      </w:r>
    </w:p>
    <w:p w14:paraId="09028361" w14:textId="77777777" w:rsidR="00410F64" w:rsidRPr="00410F64" w:rsidRDefault="00410F64" w:rsidP="00D6060A">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Feb 2025: Prohibited AI systems banned</w:t>
      </w:r>
    </w:p>
    <w:p w14:paraId="261F259F" w14:textId="77777777" w:rsidR="007E2A96" w:rsidRDefault="00410F64" w:rsidP="00D6060A">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 xml:space="preserve">August 2025: Regulations on general-purpose AI systems enforced. </w:t>
      </w:r>
    </w:p>
    <w:p w14:paraId="6D8B726A" w14:textId="77777777" w:rsidR="007E2A96" w:rsidRDefault="00410F64" w:rsidP="00D6060A">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 xml:space="preserve">August 2026: Most high-risk AI system rules come into effect. </w:t>
      </w:r>
    </w:p>
    <w:p w14:paraId="4076C6FA" w14:textId="13F30820" w:rsidR="00410F64" w:rsidRPr="00410F64" w:rsidRDefault="00410F64" w:rsidP="00D6060A">
      <w:pPr>
        <w:numPr>
          <w:ilvl w:val="0"/>
          <w:numId w:val="2"/>
        </w:num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August 2027: High-risk AI in safety-critical products.</w:t>
      </w:r>
    </w:p>
    <w:p w14:paraId="27BC3B24" w14:textId="785691FF" w:rsidR="00410F64" w:rsidRPr="00410F64" w:rsidRDefault="00410F64" w:rsidP="00D6060A">
      <w:pPr>
        <w:spacing w:after="0" w:line="240" w:lineRule="auto"/>
        <w:jc w:val="both"/>
        <w:rPr>
          <w:rFonts w:ascii="Times New Roman" w:eastAsia="Times New Roman" w:hAnsi="Times New Roman" w:cs="Times New Roman"/>
          <w:kern w:val="0"/>
          <w14:ligatures w14:val="none"/>
        </w:rPr>
      </w:pPr>
    </w:p>
    <w:p w14:paraId="7B359124" w14:textId="77777777" w:rsidR="00410F64" w:rsidRPr="00410F64" w:rsidRDefault="00410F64" w:rsidP="00D6060A">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410F64">
        <w:rPr>
          <w:rFonts w:ascii="Times New Roman" w:eastAsia="Times New Roman" w:hAnsi="Times New Roman" w:cs="Times New Roman"/>
          <w:b/>
          <w:bCs/>
          <w:color w:val="000000"/>
          <w:kern w:val="0"/>
          <w14:ligatures w14:val="none"/>
        </w:rPr>
        <w:t>3. Cyber-Specific Frameworks for AI in the SDLC</w:t>
      </w:r>
    </w:p>
    <w:p w14:paraId="510E13B4" w14:textId="77777777"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These three work as a complementary stack:</w:t>
      </w:r>
    </w:p>
    <w:p w14:paraId="2416C35F" w14:textId="77777777"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MITRE ATLAS</w:t>
      </w:r>
      <w:r w:rsidRPr="00410F64">
        <w:rPr>
          <w:rFonts w:ascii="Times New Roman" w:eastAsia="Times New Roman" w:hAnsi="Times New Roman" w:cs="Times New Roman"/>
          <w:color w:val="000000"/>
          <w:kern w:val="0"/>
          <w14:ligatures w14:val="none"/>
        </w:rPr>
        <w:t xml:space="preserve"> (Adversarial Threat Landscape for AI Systems) MITRE ATLAS catalogs 16 tactics, 84 techniques, and 56 sub-techniques specifically targeting AI and ML systems. The November 2025 update (v5.1.0) expanded coverage, and February 2026 updates added agentic AI techniques. Approximately 70% of ATLAS </w:t>
      </w:r>
      <w:proofErr w:type="gramStart"/>
      <w:r w:rsidRPr="00410F64">
        <w:rPr>
          <w:rFonts w:ascii="Times New Roman" w:eastAsia="Times New Roman" w:hAnsi="Times New Roman" w:cs="Times New Roman"/>
          <w:color w:val="000000"/>
          <w:kern w:val="0"/>
          <w14:ligatures w14:val="none"/>
        </w:rPr>
        <w:t>mitigations map</w:t>
      </w:r>
      <w:proofErr w:type="gramEnd"/>
      <w:r w:rsidRPr="00410F64">
        <w:rPr>
          <w:rFonts w:ascii="Times New Roman" w:eastAsia="Times New Roman" w:hAnsi="Times New Roman" w:cs="Times New Roman"/>
          <w:color w:val="000000"/>
          <w:kern w:val="0"/>
          <w14:ligatures w14:val="none"/>
        </w:rPr>
        <w:t xml:space="preserve"> to existing security controls, making SOC integration practical.</w:t>
      </w:r>
    </w:p>
    <w:p w14:paraId="1851EB55" w14:textId="27300A8D"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OWASP LLM Top 10</w:t>
      </w:r>
      <w:r w:rsidRPr="00410F64">
        <w:rPr>
          <w:rFonts w:ascii="Times New Roman" w:eastAsia="Times New Roman" w:hAnsi="Times New Roman" w:cs="Times New Roman"/>
          <w:color w:val="000000"/>
          <w:kern w:val="0"/>
          <w14:ligatures w14:val="none"/>
        </w:rPr>
        <w:t> OWASP provides top 10 overviews of technical vulnerabilities in AI/LLM applications, as well as dedicated guidelines for AI agents and generative AI. It targets developers, security engineers, and application teams.</w:t>
      </w:r>
    </w:p>
    <w:p w14:paraId="19BDCADD" w14:textId="77777777"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How they interplay with NIST AI RMF:</w:t>
      </w:r>
      <w:r w:rsidRPr="00410F64">
        <w:rPr>
          <w:rFonts w:ascii="Times New Roman" w:eastAsia="Times New Roman" w:hAnsi="Times New Roman" w:cs="Times New Roman"/>
          <w:color w:val="000000"/>
          <w:kern w:val="0"/>
          <w14:ligatures w14:val="none"/>
        </w:rPr>
        <w:t> A natural division of labor emerges: OWASP LLM Top 10 guides secure coding in the development phase; ATLAS informs threat modeling and detection in operations; NIST AI RMF structures risk management and compliance at the governance layer.</w:t>
      </w:r>
    </w:p>
    <w:p w14:paraId="211C2F7E" w14:textId="77777777"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Key link:</w:t>
      </w:r>
      <w:r w:rsidRPr="00410F64">
        <w:rPr>
          <w:rFonts w:ascii="Times New Roman" w:eastAsia="Times New Roman" w:hAnsi="Times New Roman" w:cs="Times New Roman"/>
          <w:color w:val="000000"/>
          <w:kern w:val="0"/>
          <w14:ligatures w14:val="none"/>
        </w:rPr>
        <w:t> https://atlas.mitre.org | https://owasp.org/www-project-top-10-for-large-language-model-applications/</w:t>
      </w:r>
    </w:p>
    <w:p w14:paraId="5156B8E2" w14:textId="77777777" w:rsidR="00410F64" w:rsidRPr="00410F64" w:rsidRDefault="00000000" w:rsidP="00D6060A">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9348824">
          <v:rect id="_x0000_i1025" alt="" style="width:468pt;height:.05pt;mso-width-percent:0;mso-height-percent:0;mso-width-percent:0;mso-height-percent:0" o:hralign="center" o:hrstd="t" o:hr="t" fillcolor="#a0a0a0" stroked="f"/>
        </w:pict>
      </w:r>
    </w:p>
    <w:p w14:paraId="06FF9437" w14:textId="77777777" w:rsidR="00410F64" w:rsidRPr="00410F64" w:rsidRDefault="00410F64" w:rsidP="00D6060A">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410F64">
        <w:rPr>
          <w:rFonts w:ascii="Times New Roman" w:eastAsia="Times New Roman" w:hAnsi="Times New Roman" w:cs="Times New Roman"/>
          <w:b/>
          <w:bCs/>
          <w:color w:val="000000"/>
          <w:kern w:val="0"/>
          <w14:ligatures w14:val="none"/>
        </w:rPr>
        <w:t>4. Other Frameworks &amp; How They Relate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75"/>
        <w:gridCol w:w="7675"/>
      </w:tblGrid>
      <w:tr w:rsidR="00410F64" w:rsidRPr="00410F64" w14:paraId="4D402EDD" w14:textId="77777777" w:rsidTr="00410F64">
        <w:trPr>
          <w:tblHeader/>
          <w:tblCellSpacing w:w="15" w:type="dxa"/>
        </w:trPr>
        <w:tc>
          <w:tcPr>
            <w:tcW w:w="0" w:type="auto"/>
            <w:vAlign w:val="center"/>
            <w:hideMark/>
          </w:tcPr>
          <w:p w14:paraId="15E5BADB" w14:textId="77777777" w:rsidR="00410F64" w:rsidRPr="00410F64" w:rsidRDefault="00410F64" w:rsidP="00D6060A">
            <w:pPr>
              <w:spacing w:after="0" w:line="240" w:lineRule="auto"/>
              <w:jc w:val="both"/>
              <w:rPr>
                <w:rFonts w:ascii="Times New Roman" w:eastAsia="Times New Roman" w:hAnsi="Times New Roman" w:cs="Times New Roman"/>
                <w:b/>
                <w:bCs/>
                <w:color w:val="000000"/>
                <w:kern w:val="0"/>
                <w14:ligatures w14:val="none"/>
              </w:rPr>
            </w:pPr>
            <w:r w:rsidRPr="00410F64">
              <w:rPr>
                <w:rFonts w:ascii="Times New Roman" w:eastAsia="Times New Roman" w:hAnsi="Times New Roman" w:cs="Times New Roman"/>
                <w:b/>
                <w:bCs/>
                <w:color w:val="000000"/>
                <w:kern w:val="0"/>
                <w14:ligatures w14:val="none"/>
              </w:rPr>
              <w:t>Framework</w:t>
            </w:r>
          </w:p>
        </w:tc>
        <w:tc>
          <w:tcPr>
            <w:tcW w:w="0" w:type="auto"/>
            <w:vAlign w:val="center"/>
            <w:hideMark/>
          </w:tcPr>
          <w:p w14:paraId="293E11DE" w14:textId="77777777" w:rsidR="00410F64" w:rsidRPr="00410F64" w:rsidRDefault="00410F64" w:rsidP="00D6060A">
            <w:pPr>
              <w:spacing w:after="0" w:line="240" w:lineRule="auto"/>
              <w:jc w:val="both"/>
              <w:rPr>
                <w:rFonts w:ascii="Times New Roman" w:eastAsia="Times New Roman" w:hAnsi="Times New Roman" w:cs="Times New Roman"/>
                <w:b/>
                <w:bCs/>
                <w:color w:val="000000"/>
                <w:kern w:val="0"/>
                <w14:ligatures w14:val="none"/>
              </w:rPr>
            </w:pPr>
            <w:r w:rsidRPr="00410F64">
              <w:rPr>
                <w:rFonts w:ascii="Times New Roman" w:eastAsia="Times New Roman" w:hAnsi="Times New Roman" w:cs="Times New Roman"/>
                <w:b/>
                <w:bCs/>
                <w:color w:val="000000"/>
                <w:kern w:val="0"/>
                <w14:ligatures w14:val="none"/>
              </w:rPr>
              <w:t>Relevance to AI/SDLC</w:t>
            </w:r>
          </w:p>
        </w:tc>
      </w:tr>
      <w:tr w:rsidR="00410F64" w:rsidRPr="00410F64" w14:paraId="3B8FAF96" w14:textId="77777777" w:rsidTr="00410F64">
        <w:trPr>
          <w:tblCellSpacing w:w="15" w:type="dxa"/>
        </w:trPr>
        <w:tc>
          <w:tcPr>
            <w:tcW w:w="0" w:type="auto"/>
            <w:vAlign w:val="center"/>
            <w:hideMark/>
          </w:tcPr>
          <w:p w14:paraId="3252BD7C" w14:textId="7777777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GDPR</w:t>
            </w:r>
          </w:p>
        </w:tc>
        <w:tc>
          <w:tcPr>
            <w:tcW w:w="0" w:type="auto"/>
            <w:vAlign w:val="center"/>
            <w:hideMark/>
          </w:tcPr>
          <w:p w14:paraId="2B3C18C9" w14:textId="0C17D60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 xml:space="preserve">Data privacy obligations apply when AI processes personal data; AI Act layers on top </w:t>
            </w:r>
            <w:r>
              <w:rPr>
                <w:rFonts w:ascii="Times New Roman" w:eastAsia="Times New Roman" w:hAnsi="Times New Roman" w:cs="Times New Roman"/>
                <w:color w:val="000000"/>
                <w:kern w:val="0"/>
                <w14:ligatures w14:val="none"/>
              </w:rPr>
              <w:t xml:space="preserve">and </w:t>
            </w:r>
            <w:r w:rsidRPr="00410F64">
              <w:rPr>
                <w:rFonts w:ascii="Times New Roman" w:eastAsia="Times New Roman" w:hAnsi="Times New Roman" w:cs="Times New Roman"/>
                <w:color w:val="000000"/>
                <w:kern w:val="0"/>
                <w14:ligatures w14:val="none"/>
              </w:rPr>
              <w:t>they don't seamlessly integrate</w:t>
            </w:r>
          </w:p>
        </w:tc>
      </w:tr>
      <w:tr w:rsidR="00410F64" w:rsidRPr="00410F64" w14:paraId="1F6A3C74" w14:textId="77777777" w:rsidTr="00410F64">
        <w:trPr>
          <w:tblCellSpacing w:w="15" w:type="dxa"/>
        </w:trPr>
        <w:tc>
          <w:tcPr>
            <w:tcW w:w="0" w:type="auto"/>
            <w:vAlign w:val="center"/>
            <w:hideMark/>
          </w:tcPr>
          <w:p w14:paraId="124FDBCC" w14:textId="7777777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SOC 2 (Type II)</w:t>
            </w:r>
          </w:p>
        </w:tc>
        <w:tc>
          <w:tcPr>
            <w:tcW w:w="0" w:type="auto"/>
            <w:vAlign w:val="center"/>
            <w:hideMark/>
          </w:tcPr>
          <w:p w14:paraId="1CAFCD78" w14:textId="7777777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Financial services AI agents analyzing transactions require SOC 2 compliance, real-time fraud detection, and audit trails</w:t>
            </w:r>
          </w:p>
        </w:tc>
      </w:tr>
      <w:tr w:rsidR="00410F64" w:rsidRPr="00410F64" w14:paraId="42794B1B" w14:textId="77777777" w:rsidTr="00410F64">
        <w:trPr>
          <w:tblCellSpacing w:w="15" w:type="dxa"/>
        </w:trPr>
        <w:tc>
          <w:tcPr>
            <w:tcW w:w="0" w:type="auto"/>
            <w:vAlign w:val="center"/>
            <w:hideMark/>
          </w:tcPr>
          <w:p w14:paraId="499DE909" w14:textId="7777777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lastRenderedPageBreak/>
              <w:t>ISO/IEC 42001:2023</w:t>
            </w:r>
          </w:p>
        </w:tc>
        <w:tc>
          <w:tcPr>
            <w:tcW w:w="0" w:type="auto"/>
            <w:vAlign w:val="center"/>
            <w:hideMark/>
          </w:tcPr>
          <w:p w14:paraId="4A01CF44" w14:textId="7777777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The first global AI governance standard, focusing on organizational structures for risk, transparency, and accountability</w:t>
            </w:r>
          </w:p>
        </w:tc>
      </w:tr>
      <w:tr w:rsidR="00410F64" w:rsidRPr="00410F64" w14:paraId="6D25BC03" w14:textId="77777777" w:rsidTr="00410F64">
        <w:trPr>
          <w:tblCellSpacing w:w="15" w:type="dxa"/>
        </w:trPr>
        <w:tc>
          <w:tcPr>
            <w:tcW w:w="0" w:type="auto"/>
            <w:vAlign w:val="center"/>
            <w:hideMark/>
          </w:tcPr>
          <w:p w14:paraId="424317C3" w14:textId="7777777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CIS Controls</w:t>
            </w:r>
          </w:p>
        </w:tc>
        <w:tc>
          <w:tcPr>
            <w:tcW w:w="0" w:type="auto"/>
            <w:vAlign w:val="center"/>
            <w:hideMark/>
          </w:tcPr>
          <w:p w14:paraId="22F35C39" w14:textId="133E5404"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Foundational infrastructure controls (access management, logging, patch management) that underpin AI security; CIS doesn't address AI natively, but the controls map directly</w:t>
            </w:r>
          </w:p>
        </w:tc>
      </w:tr>
      <w:tr w:rsidR="00410F64" w:rsidRPr="00410F64" w14:paraId="6E8DD6C6" w14:textId="77777777" w:rsidTr="00410F64">
        <w:trPr>
          <w:tblCellSpacing w:w="15" w:type="dxa"/>
        </w:trPr>
        <w:tc>
          <w:tcPr>
            <w:tcW w:w="0" w:type="auto"/>
            <w:vAlign w:val="center"/>
            <w:hideMark/>
          </w:tcPr>
          <w:p w14:paraId="5BAABFF7" w14:textId="7777777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DORA (EU)</w:t>
            </w:r>
          </w:p>
        </w:tc>
        <w:tc>
          <w:tcPr>
            <w:tcW w:w="0" w:type="auto"/>
            <w:vAlign w:val="center"/>
            <w:hideMark/>
          </w:tcPr>
          <w:p w14:paraId="409350C1" w14:textId="3A418300"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Digital Operational Resilience Act intersects heavily with AI reliability and incident reporting for EU financial entities</w:t>
            </w:r>
          </w:p>
        </w:tc>
      </w:tr>
      <w:tr w:rsidR="00410F64" w:rsidRPr="00410F64" w14:paraId="3A7F5B78" w14:textId="77777777" w:rsidTr="00410F64">
        <w:trPr>
          <w:tblCellSpacing w:w="15" w:type="dxa"/>
        </w:trPr>
        <w:tc>
          <w:tcPr>
            <w:tcW w:w="0" w:type="auto"/>
            <w:vAlign w:val="center"/>
            <w:hideMark/>
          </w:tcPr>
          <w:p w14:paraId="527561E4" w14:textId="7777777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b/>
                <w:bCs/>
                <w:color w:val="000000"/>
                <w:kern w:val="0"/>
                <w14:ligatures w14:val="none"/>
              </w:rPr>
              <w:t>PCI DSS / HIPAA</w:t>
            </w:r>
          </w:p>
        </w:tc>
        <w:tc>
          <w:tcPr>
            <w:tcW w:w="0" w:type="auto"/>
            <w:vAlign w:val="center"/>
            <w:hideMark/>
          </w:tcPr>
          <w:p w14:paraId="7C393A52" w14:textId="77777777" w:rsidR="00410F64" w:rsidRPr="00410F64" w:rsidRDefault="00410F64" w:rsidP="00D6060A">
            <w:pPr>
              <w:spacing w:after="0"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Less directly applicable to a custodian bank's AI SDLC, but relevant if AI touches payment card or health data pipelines</w:t>
            </w:r>
          </w:p>
        </w:tc>
      </w:tr>
    </w:tbl>
    <w:p w14:paraId="42E4D1DA" w14:textId="77777777" w:rsidR="00410F64" w:rsidRPr="00410F64" w:rsidRDefault="00000000" w:rsidP="00D6060A">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772166">
          <v:rect id="_x0000_i1026" alt="" style="width:468pt;height:.05pt;mso-width-percent:0;mso-height-percent:0;mso-width-percent:0;mso-height-percent:0" o:hralign="center" o:hrstd="t" o:hr="t" fillcolor="#a0a0a0" stroked="f"/>
        </w:pict>
      </w:r>
    </w:p>
    <w:p w14:paraId="5F536811" w14:textId="692F9247" w:rsidR="00410F64" w:rsidRPr="00410F64" w:rsidRDefault="00410F64" w:rsidP="00D6060A">
      <w:pPr>
        <w:spacing w:before="100" w:beforeAutospacing="1" w:after="100" w:afterAutospacing="1" w:line="240" w:lineRule="auto"/>
        <w:jc w:val="both"/>
        <w:outlineLvl w:val="2"/>
        <w:rPr>
          <w:rFonts w:ascii="Times New Roman" w:eastAsia="Times New Roman" w:hAnsi="Times New Roman" w:cs="Times New Roman"/>
          <w:b/>
          <w:bCs/>
          <w:color w:val="000000"/>
          <w:kern w:val="0"/>
          <w14:ligatures w14:val="none"/>
        </w:rPr>
      </w:pPr>
      <w:r w:rsidRPr="00410F64">
        <w:rPr>
          <w:rFonts w:ascii="Times New Roman" w:eastAsia="Times New Roman" w:hAnsi="Times New Roman" w:cs="Times New Roman"/>
          <w:b/>
          <w:bCs/>
          <w:color w:val="000000"/>
          <w:kern w:val="0"/>
          <w14:ligatures w14:val="none"/>
        </w:rPr>
        <w:t>5. The Specific Risk Surface</w:t>
      </w:r>
      <w:r>
        <w:rPr>
          <w:rFonts w:ascii="Times New Roman" w:eastAsia="Times New Roman" w:hAnsi="Times New Roman" w:cs="Times New Roman"/>
          <w:b/>
          <w:bCs/>
          <w:color w:val="000000"/>
          <w:kern w:val="0"/>
          <w14:ligatures w14:val="none"/>
        </w:rPr>
        <w:t xml:space="preserve"> in </w:t>
      </w:r>
      <w:r w:rsidRPr="00410F64">
        <w:rPr>
          <w:rFonts w:ascii="Times New Roman" w:eastAsia="Times New Roman" w:hAnsi="Times New Roman" w:cs="Times New Roman"/>
          <w:b/>
          <w:bCs/>
          <w:color w:val="000000"/>
          <w:kern w:val="0"/>
          <w14:ligatures w14:val="none"/>
        </w:rPr>
        <w:t xml:space="preserve">AI Agents in the SDLC </w:t>
      </w:r>
    </w:p>
    <w:p w14:paraId="1DCC4625" w14:textId="77777777"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 xml:space="preserve">AI agents introduce unique security vulnerabilities including prompt </w:t>
      </w:r>
      <w:proofErr w:type="gramStart"/>
      <w:r w:rsidRPr="00410F64">
        <w:rPr>
          <w:rFonts w:ascii="Times New Roman" w:eastAsia="Times New Roman" w:hAnsi="Times New Roman" w:cs="Times New Roman"/>
          <w:color w:val="000000"/>
          <w:kern w:val="0"/>
          <w14:ligatures w14:val="none"/>
        </w:rPr>
        <w:t>injection</w:t>
      </w:r>
      <w:proofErr w:type="gramEnd"/>
      <w:r w:rsidRPr="00410F64">
        <w:rPr>
          <w:rFonts w:ascii="Times New Roman" w:eastAsia="Times New Roman" w:hAnsi="Times New Roman" w:cs="Times New Roman"/>
          <w:color w:val="000000"/>
          <w:kern w:val="0"/>
          <w14:ligatures w14:val="none"/>
        </w:rPr>
        <w:t>, data leakage, and model poisoning that traditional security tools cannot adequately address. Identity-based attacks targeting AI agents represent the fastest-growing threat vector, with compromised API keys and tokens enabling unauthorized access.</w:t>
      </w:r>
    </w:p>
    <w:p w14:paraId="40ABB77B" w14:textId="13E05232"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The six highest-impact risk categories from a 2025 survey of 100+ security leaders: supply chain risks (LLM plugins, MCP integrations), prompt injection, data exfiltration, agent-to-agent trust issues, and visibility gaps noting that only 38% of organizations monitor AI traffic end-to-end, and only 17% continuously monitor agent-to-agent interactions.</w:t>
      </w:r>
    </w:p>
    <w:p w14:paraId="16AAD2D0" w14:textId="6BC0F366" w:rsidR="00410F64" w:rsidRPr="00410F64" w:rsidRDefault="00410F64" w:rsidP="00D6060A">
      <w:pPr>
        <w:spacing w:before="100" w:beforeAutospacing="1" w:after="100" w:afterAutospacing="1" w:line="240" w:lineRule="auto"/>
        <w:jc w:val="both"/>
        <w:rPr>
          <w:rFonts w:ascii="Times New Roman" w:eastAsia="Times New Roman" w:hAnsi="Times New Roman" w:cs="Times New Roman"/>
          <w:color w:val="000000"/>
          <w:kern w:val="0"/>
          <w14:ligatures w14:val="none"/>
        </w:rPr>
      </w:pPr>
      <w:r w:rsidRPr="00410F64">
        <w:rPr>
          <w:rFonts w:ascii="Times New Roman" w:eastAsia="Times New Roman" w:hAnsi="Times New Roman" w:cs="Times New Roman"/>
          <w:color w:val="000000"/>
          <w:kern w:val="0"/>
          <w14:ligatures w14:val="none"/>
        </w:rPr>
        <w:t>For regulated industries specifically: logs must be immutable, encrypted, and retained according to regulatory requirements</w:t>
      </w:r>
      <w:r>
        <w:rPr>
          <w:rFonts w:ascii="Times New Roman" w:eastAsia="Times New Roman" w:hAnsi="Times New Roman" w:cs="Times New Roman"/>
          <w:color w:val="000000"/>
          <w:kern w:val="0"/>
          <w14:ligatures w14:val="none"/>
        </w:rPr>
        <w:t>,</w:t>
      </w:r>
      <w:r w:rsidRPr="00410F64">
        <w:rPr>
          <w:rFonts w:ascii="Times New Roman" w:eastAsia="Times New Roman" w:hAnsi="Times New Roman" w:cs="Times New Roman"/>
          <w:color w:val="000000"/>
          <w:kern w:val="0"/>
          <w14:ligatures w14:val="none"/>
        </w:rPr>
        <w:t xml:space="preserve"> typically 7 years for financial services.</w:t>
      </w:r>
    </w:p>
    <w:p w14:paraId="25BAF653" w14:textId="77777777" w:rsidR="00627B79" w:rsidRPr="00410F64" w:rsidRDefault="00627B79" w:rsidP="00D6060A">
      <w:pPr>
        <w:jc w:val="both"/>
        <w:rPr>
          <w:rFonts w:ascii="Times New Roman" w:hAnsi="Times New Roman" w:cs="Times New Roman"/>
        </w:rPr>
      </w:pPr>
    </w:p>
    <w:sectPr w:rsidR="00627B79" w:rsidRPr="00410F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F0383"/>
    <w:multiLevelType w:val="multilevel"/>
    <w:tmpl w:val="DA520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C605CA"/>
    <w:multiLevelType w:val="hybridMultilevel"/>
    <w:tmpl w:val="794CC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5F35C4"/>
    <w:multiLevelType w:val="multilevel"/>
    <w:tmpl w:val="B86C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85640"/>
    <w:multiLevelType w:val="multilevel"/>
    <w:tmpl w:val="598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8832559">
    <w:abstractNumId w:val="3"/>
  </w:num>
  <w:num w:numId="2" w16cid:durableId="655764974">
    <w:abstractNumId w:val="2"/>
  </w:num>
  <w:num w:numId="3" w16cid:durableId="567112131">
    <w:abstractNumId w:val="0"/>
  </w:num>
  <w:num w:numId="4" w16cid:durableId="20606695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F64"/>
    <w:rsid w:val="00025867"/>
    <w:rsid w:val="00083540"/>
    <w:rsid w:val="00176A59"/>
    <w:rsid w:val="00177884"/>
    <w:rsid w:val="003929B8"/>
    <w:rsid w:val="00410F64"/>
    <w:rsid w:val="004735CC"/>
    <w:rsid w:val="00627B79"/>
    <w:rsid w:val="007E2A96"/>
    <w:rsid w:val="008240CD"/>
    <w:rsid w:val="00AF1474"/>
    <w:rsid w:val="00BB0F01"/>
    <w:rsid w:val="00C144D1"/>
    <w:rsid w:val="00C346C4"/>
    <w:rsid w:val="00C96A60"/>
    <w:rsid w:val="00D6060A"/>
    <w:rsid w:val="00E51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CB2AD"/>
  <w15:chartTrackingRefBased/>
  <w15:docId w15:val="{229801E7-6202-2843-92ED-0597945DE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F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0F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0F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F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F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F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F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F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F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0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0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F64"/>
    <w:rPr>
      <w:rFonts w:eastAsiaTheme="majorEastAsia" w:cstheme="majorBidi"/>
      <w:color w:val="272727" w:themeColor="text1" w:themeTint="D8"/>
    </w:rPr>
  </w:style>
  <w:style w:type="paragraph" w:styleId="Title">
    <w:name w:val="Title"/>
    <w:basedOn w:val="Normal"/>
    <w:next w:val="Normal"/>
    <w:link w:val="TitleChar"/>
    <w:uiPriority w:val="10"/>
    <w:qFormat/>
    <w:rsid w:val="00410F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F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F64"/>
    <w:pPr>
      <w:spacing w:before="160"/>
      <w:jc w:val="center"/>
    </w:pPr>
    <w:rPr>
      <w:i/>
      <w:iCs/>
      <w:color w:val="404040" w:themeColor="text1" w:themeTint="BF"/>
    </w:rPr>
  </w:style>
  <w:style w:type="character" w:customStyle="1" w:styleId="QuoteChar">
    <w:name w:val="Quote Char"/>
    <w:basedOn w:val="DefaultParagraphFont"/>
    <w:link w:val="Quote"/>
    <w:uiPriority w:val="29"/>
    <w:rsid w:val="00410F64"/>
    <w:rPr>
      <w:i/>
      <w:iCs/>
      <w:color w:val="404040" w:themeColor="text1" w:themeTint="BF"/>
    </w:rPr>
  </w:style>
  <w:style w:type="paragraph" w:styleId="ListParagraph">
    <w:name w:val="List Paragraph"/>
    <w:basedOn w:val="Normal"/>
    <w:uiPriority w:val="34"/>
    <w:qFormat/>
    <w:rsid w:val="00410F64"/>
    <w:pPr>
      <w:ind w:left="720"/>
      <w:contextualSpacing/>
    </w:pPr>
  </w:style>
  <w:style w:type="character" w:styleId="IntenseEmphasis">
    <w:name w:val="Intense Emphasis"/>
    <w:basedOn w:val="DefaultParagraphFont"/>
    <w:uiPriority w:val="21"/>
    <w:qFormat/>
    <w:rsid w:val="00410F64"/>
    <w:rPr>
      <w:i/>
      <w:iCs/>
      <w:color w:val="0F4761" w:themeColor="accent1" w:themeShade="BF"/>
    </w:rPr>
  </w:style>
  <w:style w:type="paragraph" w:styleId="IntenseQuote">
    <w:name w:val="Intense Quote"/>
    <w:basedOn w:val="Normal"/>
    <w:next w:val="Normal"/>
    <w:link w:val="IntenseQuoteChar"/>
    <w:uiPriority w:val="30"/>
    <w:qFormat/>
    <w:rsid w:val="00410F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F64"/>
    <w:rPr>
      <w:i/>
      <w:iCs/>
      <w:color w:val="0F4761" w:themeColor="accent1" w:themeShade="BF"/>
    </w:rPr>
  </w:style>
  <w:style w:type="character" w:styleId="IntenseReference">
    <w:name w:val="Intense Reference"/>
    <w:basedOn w:val="DefaultParagraphFont"/>
    <w:uiPriority w:val="32"/>
    <w:qFormat/>
    <w:rsid w:val="00410F64"/>
    <w:rPr>
      <w:b/>
      <w:bCs/>
      <w:smallCaps/>
      <w:color w:val="0F4761" w:themeColor="accent1" w:themeShade="BF"/>
      <w:spacing w:val="5"/>
    </w:rPr>
  </w:style>
  <w:style w:type="paragraph" w:styleId="NormalWeb">
    <w:name w:val="Normal (Web)"/>
    <w:basedOn w:val="Normal"/>
    <w:uiPriority w:val="99"/>
    <w:semiHidden/>
    <w:unhideWhenUsed/>
    <w:rsid w:val="00410F6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410F64"/>
  </w:style>
  <w:style w:type="character" w:styleId="Strong">
    <w:name w:val="Strong"/>
    <w:basedOn w:val="DefaultParagraphFont"/>
    <w:uiPriority w:val="22"/>
    <w:qFormat/>
    <w:rsid w:val="00410F6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821</Words>
  <Characters>4681</Characters>
  <Application>Microsoft Office Word</Application>
  <DocSecurity>0</DocSecurity>
  <Lines>39</Lines>
  <Paragraphs>10</Paragraphs>
  <ScaleCrop>false</ScaleCrop>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Deandra Lauren Rodricks</dc:creator>
  <cp:keywords/>
  <dc:description/>
  <cp:lastModifiedBy>Moises Galindo Amezcua</cp:lastModifiedBy>
  <cp:revision>7</cp:revision>
  <dcterms:created xsi:type="dcterms:W3CDTF">2026-05-28T00:03:00Z</dcterms:created>
  <dcterms:modified xsi:type="dcterms:W3CDTF">2026-05-28T17:44:00Z</dcterms:modified>
</cp:coreProperties>
</file>