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EE" w:rsidRDefault="00571AEE">
      <w:r>
        <w:t>Mudanças nos nomes das Funções:</w:t>
      </w:r>
    </w:p>
    <w:p w:rsidR="00571AEE" w:rsidRDefault="00571AEE"/>
    <w:p w:rsidR="00571AEE" w:rsidRP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bookmarkStart w:id="0" w:name="_GoBack"/>
      <w:proofErr w:type="spellStart"/>
      <w:r w:rsidRPr="00571AEE">
        <w:t>SQLPragmaCotAtivo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Invest.Inv.Ativo.Cotacao</w:t>
      </w:r>
      <w:proofErr w:type="spellEnd"/>
    </w:p>
    <w:bookmarkEnd w:id="0"/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SQLCotacao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Invest.Ativo.Cotacao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SQLPragmaCotLCI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Invest.Inv.Ativo.Lci.Cotacao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SQLPragmaCotFundo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Invest.Inv.Cotacao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SQLDividendoPragma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Invest.Inv.Ativo.Dividendo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SQLDividendoFundo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Invest.Inv.Dividendo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SQLAtivoIsin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Invest.Ativo.Isin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SQLPragmaCPR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Invest.Inv.CPR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SQLAtivoMoeda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Invest.Ativo.Moeda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SQLMovtoPragma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Invest.Inv.Ativo.Movto</w:t>
      </w:r>
      <w:proofErr w:type="spellEnd"/>
    </w:p>
    <w:p w:rsidR="00571AEE" w:rsidRDefault="00571AEE" w:rsidP="0057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571AEE">
        <w:t>SQLSetorPragma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Invest.Inv.Classe.Patrimonio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SQLTipoAtivoPragma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Invest.Inv.TipoAtivo.Patrimonio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SQLPLPragmaPatrLCI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Invest.Inv.Ativo.Lci.Patrimonio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Invest.Inv.Ativo.Mercado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SQLPLPragmaPatr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Invest.Inv.Ativo.Patrimonio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rPr>
          <w:rFonts w:ascii="Consolas" w:hAnsi="Consolas" w:cs="Consolas"/>
          <w:sz w:val="19"/>
          <w:szCs w:val="19"/>
        </w:rPr>
        <w:t>SQLPLFundoPragma</w:t>
      </w:r>
      <w:proofErr w:type="spellEnd"/>
      <w:r w:rsidRPr="0040632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Invest.Inv.PL</w:t>
      </w:r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SQLPLFundoPragmaBru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Invest.Inv.PLBruto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SQLPLLocPragma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Invest.Inv.PLLocal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SQLPLOffPragma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Invest.Inv.PLOff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SQLPLReal</w:t>
      </w:r>
      <w:proofErr w:type="spellEnd"/>
      <w: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Invest.Fundo.PL</w:t>
      </w:r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SQLPLPragmaQuant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Invest.Inv.TipoAtivo.Quantidade</w:t>
      </w:r>
      <w:proofErr w:type="spellEnd"/>
    </w:p>
    <w:p w:rsidR="0040632A" w:rsidRDefault="0040632A" w:rsidP="004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SQLPragmaQTAtivo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Invest.Inv.Ativo.Quantidade</w:t>
      </w:r>
      <w:proofErr w:type="spellEnd"/>
    </w:p>
    <w:p w:rsidR="00E4415A" w:rsidRDefault="0040632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40632A">
        <w:t>SQLTxAdmFundoPragma</w:t>
      </w:r>
      <w:proofErr w:type="spellEnd"/>
      <w:r>
        <w:t xml:space="preserve"> = </w:t>
      </w:r>
      <w:proofErr w:type="spellStart"/>
      <w:r w:rsidR="00E4415A">
        <w:rPr>
          <w:rFonts w:ascii="Consolas" w:hAnsi="Consolas" w:cs="Consolas"/>
          <w:color w:val="A31515"/>
          <w:sz w:val="19"/>
          <w:szCs w:val="19"/>
        </w:rPr>
        <w:t>Invest.Inv.TxAdm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SQLTxGesFundoPragma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Invest.Inv.TxGes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SQLVLAtivoPrincipal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Invest.Inv.Ativo.Principal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SQLVencimentoLCI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Invest.LCI.Vencimento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SQLQtCostista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Invest.Inv.Cotista.Quantidade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SQLTxFundo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Invest.Inv.TxFundo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SQLQtdePragma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Invest.Inv.Ativo.QtBloq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SQLCotaFac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Invest.Fundo.Cotacao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SQLRentabIndice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Invest.Indice.Rentabilidade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SQLCnpjAtivo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Invest.Ativo.Cnpj</w:t>
      </w:r>
      <w:proofErr w:type="spellEnd"/>
    </w:p>
    <w:p w:rsidR="00E4415A" w:rsidRDefault="00E4415A" w:rsidP="00E4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E4415A">
        <w:t>SQLNomeAtivo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Invest.Ativo.Nome</w:t>
      </w:r>
      <w:proofErr w:type="spellEnd"/>
    </w:p>
    <w:p w:rsidR="00571AEE" w:rsidRDefault="00571AEE"/>
    <w:sectPr w:rsidR="00571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EE"/>
    <w:rsid w:val="0040632A"/>
    <w:rsid w:val="00571AEE"/>
    <w:rsid w:val="00CE0D64"/>
    <w:rsid w:val="00E4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E8E5D-106E-465D-8059-18B517BC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1</cp:revision>
  <dcterms:created xsi:type="dcterms:W3CDTF">2014-05-26T16:54:00Z</dcterms:created>
  <dcterms:modified xsi:type="dcterms:W3CDTF">2014-05-26T17:28:00Z</dcterms:modified>
</cp:coreProperties>
</file>