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Minuta de reunión de seguimiento – Concesión Ruta Costera Sur</w:t>
      </w:r>
    </w:p>
    <w:p>
      <w:r>
        <w:t>Fecha: 20 de septiembre de 2026. Lugar: oficinas de la Concesionaria, Puerto Arena.</w:t>
      </w:r>
    </w:p>
    <w:p>
      <w:r>
        <w:t>Asistentes: Sebastián Merino (abogado), Carolina Pizarro (gerenta general de la Concesionaria) y Andrés Vidal (inspector fiscal).</w:t>
      </w:r>
    </w:p>
    <w:p>
      <w:pPr>
        <w:pStyle w:val="Heading1"/>
      </w:pPr>
      <w:r>
        <w:t>Temas tratados</w:t>
      </w:r>
    </w:p>
    <w:p>
      <w:r>
        <w:t>Se revisó el estado de tramitación del Convenio Complementario N° 2 sobre la estabilización del km 47. Se aclaró una duda histórica: el borrador original de las bases de licitación (2018) contemplaba un plazo máximo de concesión de 30 años; el contrato adjudicado lo fijó finalmente en 32 años.</w:t>
      </w:r>
    </w:p>
    <w:p>
      <w:pPr>
        <w:pStyle w:val="Heading1"/>
      </w:pPr>
      <w:r>
        <w:t>Acuerdos</w:t>
      </w:r>
    </w:p>
    <w:p>
      <w:pPr>
        <w:pStyle w:val="ListNumber"/>
      </w:pPr>
      <w:r>
        <w:t>Solicitar al MOP una prórroga del plazo de tramitación del Convenio Complementario N° 2 hasta el 31 de diciembre de 2026.</w:t>
      </w:r>
    </w:p>
    <w:p>
      <w:pPr>
        <w:pStyle w:val="ListNumber"/>
      </w:pPr>
      <w:r>
        <w:t>Encargar a la consultora Vialtec un estudio de factibilidad del sistema free-flow, con un plazo de 45 días.</w:t>
      </w:r>
    </w:p>
    <w:p>
      <w:pPr>
        <w:pStyle w:val="ListNumber"/>
      </w:pPr>
      <w:r>
        <w:t>Preparar la presentación ante el Panel Técnico en caso de no lograr acuerdo sobre la compensación.</w:t>
      </w:r>
    </w:p>
    <w:p>
      <w:r>
        <w:t>Próxima reunión: 18 de octubre de 2026.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Documento FICTICIO generado para pruebas del RAG doméstico (octubre de 2026). No corresponde a hechos reales.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reunión – Concesión Ruta Costera Sur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