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Técnica – Plataforma Cóndor v2.3</w:t>
      </w:r>
    </w:p>
    <w:p>
      <w:r>
        <w:t>Fecha: 12 de agosto de 2026. Cliente: Cooperativa Agrícola Valle del Elqui. Arquitecta responsable: Marcela Ibáñez. Estado del documento: aprobado.</w:t>
      </w:r>
    </w:p>
    <w:p>
      <w:pPr>
        <w:pStyle w:val="Heading1"/>
      </w:pPr>
      <w:r>
        <w:t>1. Propósito</w:t>
      </w:r>
    </w:p>
    <w:p>
      <w:r>
        <w:t>La Plataforma Cóndor permite trazar los lotes de uva pisquera desde la recepción en planta hasta el despacho, emitir certificados de origen y entregar información a los organismos fiscalizadores. Este documento describe la arquitectura, los requisitos no funcionales y las reglas de seguridad que deben cumplir todos los componentes del sistema.</w:t>
      </w:r>
    </w:p>
    <w:p>
      <w:pPr>
        <w:pStyle w:val="Heading1"/>
      </w:pPr>
      <w:r>
        <w:t>2. Arquitectura</w:t>
      </w:r>
    </w:p>
    <w:p>
      <w:r>
        <w:t>Todas las solicitudes externas ingresan por un API Gateway Kong que escucha en el puerto 8443 con TLS. Detrás del gateway operan tres servicios: «lotes», «certificados» y «despachos». La comunicación asíncrona entre servicios usa RabbitMQ; la cola principal se llama condor.despachos.v1. La base de datos es PostgreSQL 16, alojada en el servidor «tórtola» del centro de datos de La Serena. Las consultas frecuentes se guardan en una caché Redis con un tiempo de vida (TTL) de 900 segundos.</w:t>
      </w:r>
    </w:p>
    <w:p>
      <w:pPr>
        <w:pStyle w:val="Heading1"/>
      </w:pPr>
      <w:r>
        <w:t>3. Requisitos no funcionales</w:t>
      </w:r>
    </w:p>
    <w:p>
      <w:pPr>
        <w:pStyle w:val="ListBullet"/>
      </w:pPr>
      <w:r>
        <w:t>Disponibilidad mensual mínima: 99,7 % (excluye ventanas de mantención programadas).</w:t>
      </w:r>
    </w:p>
    <w:p>
      <w:pPr>
        <w:pStyle w:val="ListBullet"/>
      </w:pPr>
      <w:r>
        <w:t>Latencia p95 para consultas de lotes: 350 ms medidos en el gateway.</w:t>
      </w:r>
    </w:p>
    <w:p>
      <w:pPr>
        <w:pStyle w:val="ListBullet"/>
      </w:pPr>
      <w:r>
        <w:t>Objetivo de punto de recuperación (RPO): 15 minutos.</w:t>
      </w:r>
    </w:p>
    <w:p>
      <w:pPr>
        <w:pStyle w:val="ListBullet"/>
      </w:pPr>
      <w:r>
        <w:t>Objetivo de tiempo de recuperación (RTO): 2 horas.</w:t>
      </w:r>
    </w:p>
    <w:p>
      <w:pPr>
        <w:pStyle w:val="ListBullet"/>
      </w:pPr>
      <w:r>
        <w:t>El token de acceso JWT expira a los 45 minutos; el token de refresco dura 7 días.</w:t>
      </w:r>
    </w:p>
    <w:p>
      <w:pPr>
        <w:pStyle w:val="Heading1"/>
      </w:pPr>
      <w:r>
        <w:t>4. Ambientes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Ambiente</w:t>
            </w:r>
          </w:p>
        </w:tc>
        <w:tc>
          <w:tcPr>
            <w:tcW w:type="dxa" w:w="2160"/>
          </w:tcPr>
          <w:p>
            <w:r>
              <w:t>URL</w:t>
            </w:r>
          </w:p>
        </w:tc>
        <w:tc>
          <w:tcPr>
            <w:tcW w:type="dxa" w:w="2160"/>
          </w:tcPr>
          <w:p>
            <w:r>
              <w:t>Réplicas</w:t>
            </w:r>
          </w:p>
        </w:tc>
        <w:tc>
          <w:tcPr>
            <w:tcW w:type="dxa" w:w="2160"/>
          </w:tcPr>
          <w:p>
            <w:r>
              <w:t>Base de datos</w:t>
            </w:r>
          </w:p>
        </w:tc>
      </w:tr>
      <w:tr>
        <w:tc>
          <w:tcPr>
            <w:tcW w:type="dxa" w:w="2160"/>
          </w:tcPr>
          <w:p>
            <w:r>
              <w:t>Desarrollo</w:t>
            </w:r>
          </w:p>
        </w:tc>
        <w:tc>
          <w:tcPr>
            <w:tcW w:type="dxa" w:w="2160"/>
          </w:tcPr>
          <w:p>
            <w:r>
              <w:t>dev.condor.local</w:t>
            </w:r>
          </w:p>
        </w:tc>
        <w:tc>
          <w:tcPr>
            <w:tcW w:type="dxa" w:w="2160"/>
          </w:tcPr>
          <w:p>
            <w:r>
              <w:t>1</w:t>
            </w:r>
          </w:p>
        </w:tc>
        <w:tc>
          <w:tcPr>
            <w:tcW w:type="dxa" w:w="2160"/>
          </w:tcPr>
          <w:p>
            <w:r>
              <w:t>condor_dev</w:t>
            </w:r>
          </w:p>
        </w:tc>
      </w:tr>
      <w:tr>
        <w:tc>
          <w:tcPr>
            <w:tcW w:type="dxa" w:w="2160"/>
          </w:tcPr>
          <w:p>
            <w:r>
              <w:t>QA</w:t>
            </w:r>
          </w:p>
        </w:tc>
        <w:tc>
          <w:tcPr>
            <w:tcW w:type="dxa" w:w="2160"/>
          </w:tcPr>
          <w:p>
            <w:r>
              <w:t>qa.condor.local</w:t>
            </w:r>
          </w:p>
        </w:tc>
        <w:tc>
          <w:tcPr>
            <w:tcW w:type="dxa" w:w="2160"/>
          </w:tcPr>
          <w:p>
            <w:r>
              <w:t>2</w:t>
            </w:r>
          </w:p>
        </w:tc>
        <w:tc>
          <w:tcPr>
            <w:tcW w:type="dxa" w:w="2160"/>
          </w:tcPr>
          <w:p>
            <w:r>
              <w:t>condor_qa</w:t>
            </w:r>
          </w:p>
        </w:tc>
      </w:tr>
      <w:tr>
        <w:tc>
          <w:tcPr>
            <w:tcW w:type="dxa" w:w="2160"/>
          </w:tcPr>
          <w:p>
            <w:r>
              <w:t>Producción</w:t>
            </w:r>
          </w:p>
        </w:tc>
        <w:tc>
          <w:tcPr>
            <w:tcW w:type="dxa" w:w="2160"/>
          </w:tcPr>
          <w:p>
            <w:r>
              <w:t>api.condor.example</w:t>
            </w:r>
          </w:p>
        </w:tc>
        <w:tc>
          <w:tcPr>
            <w:tcW w:type="dxa" w:w="2160"/>
          </w:tcPr>
          <w:p>
            <w:r>
              <w:t>4</w:t>
            </w:r>
          </w:p>
        </w:tc>
        <w:tc>
          <w:tcPr>
            <w:tcW w:type="dxa" w:w="2160"/>
          </w:tcPr>
          <w:p>
            <w:r>
              <w:t>condor_prod</w:t>
            </w:r>
          </w:p>
        </w:tc>
      </w:tr>
    </w:tbl>
    <w:p>
      <w:pPr>
        <w:pStyle w:val="Heading1"/>
      </w:pPr>
      <w:r>
        <w:t>5. Endpoints principales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Método</w:t>
            </w:r>
          </w:p>
        </w:tc>
        <w:tc>
          <w:tcPr>
            <w:tcW w:type="dxa" w:w="2160"/>
          </w:tcPr>
          <w:p>
            <w:r>
              <w:t>Ruta</w:t>
            </w:r>
          </w:p>
        </w:tc>
        <w:tc>
          <w:tcPr>
            <w:tcW w:type="dxa" w:w="2160"/>
          </w:tcPr>
          <w:p>
            <w:r>
              <w:t>Descripción</w:t>
            </w:r>
          </w:p>
        </w:tc>
        <w:tc>
          <w:tcPr>
            <w:tcW w:type="dxa" w:w="2160"/>
          </w:tcPr>
          <w:p>
            <w:r>
              <w:t>Límite (solicitudes/min)</w:t>
            </w:r>
          </w:p>
        </w:tc>
      </w:tr>
      <w:tr>
        <w:tc>
          <w:tcPr>
            <w:tcW w:type="dxa" w:w="2160"/>
          </w:tcPr>
          <w:p>
            <w:r>
              <w:t>GET</w:t>
            </w:r>
          </w:p>
        </w:tc>
        <w:tc>
          <w:tcPr>
            <w:tcW w:type="dxa" w:w="2160"/>
          </w:tcPr>
          <w:p>
            <w:r>
              <w:t>/v2/lotes/{id}</w:t>
            </w:r>
          </w:p>
        </w:tc>
        <w:tc>
          <w:tcPr>
            <w:tcW w:type="dxa" w:w="2160"/>
          </w:tcPr>
          <w:p>
            <w:r>
              <w:t>Consulta un lote</w:t>
            </w:r>
          </w:p>
        </w:tc>
        <w:tc>
          <w:tcPr>
            <w:tcW w:type="dxa" w:w="2160"/>
          </w:tcPr>
          <w:p>
            <w:r>
              <w:t>600</w:t>
            </w:r>
          </w:p>
        </w:tc>
      </w:tr>
      <w:tr>
        <w:tc>
          <w:tcPr>
            <w:tcW w:type="dxa" w:w="2160"/>
          </w:tcPr>
          <w:p>
            <w:r>
              <w:t>POST</w:t>
            </w:r>
          </w:p>
        </w:tc>
        <w:tc>
          <w:tcPr>
            <w:tcW w:type="dxa" w:w="2160"/>
          </w:tcPr>
          <w:p>
            <w:r>
              <w:t>/v2/despachos</w:t>
            </w:r>
          </w:p>
        </w:tc>
        <w:tc>
          <w:tcPr>
            <w:tcW w:type="dxa" w:w="2160"/>
          </w:tcPr>
          <w:p>
            <w:r>
              <w:t>Registra un despacho</w:t>
            </w:r>
          </w:p>
        </w:tc>
        <w:tc>
          <w:tcPr>
            <w:tcW w:type="dxa" w:w="2160"/>
          </w:tcPr>
          <w:p>
            <w:r>
              <w:t>120</w:t>
            </w:r>
          </w:p>
        </w:tc>
      </w:tr>
      <w:tr>
        <w:tc>
          <w:tcPr>
            <w:tcW w:type="dxa" w:w="2160"/>
          </w:tcPr>
          <w:p>
            <w:r>
              <w:t>GET</w:t>
            </w:r>
          </w:p>
        </w:tc>
        <w:tc>
          <w:tcPr>
            <w:tcW w:type="dxa" w:w="2160"/>
          </w:tcPr>
          <w:p>
            <w:r>
              <w:t>/v2/certificados/{folio}</w:t>
            </w:r>
          </w:p>
        </w:tc>
        <w:tc>
          <w:tcPr>
            <w:tcW w:type="dxa" w:w="2160"/>
          </w:tcPr>
          <w:p>
            <w:r>
              <w:t>Obtiene un certificado de origen</w:t>
            </w:r>
          </w:p>
        </w:tc>
        <w:tc>
          <w:tcPr>
            <w:tcW w:type="dxa" w:w="2160"/>
          </w:tcPr>
          <w:p>
            <w:r>
              <w:t>300</w:t>
            </w:r>
          </w:p>
        </w:tc>
      </w:tr>
      <w:tr>
        <w:tc>
          <w:tcPr>
            <w:tcW w:type="dxa" w:w="2160"/>
          </w:tcPr>
          <w:p>
            <w:r>
              <w:t>DELETE</w:t>
            </w:r>
          </w:p>
        </w:tc>
        <w:tc>
          <w:tcPr>
            <w:tcW w:type="dxa" w:w="2160"/>
          </w:tcPr>
          <w:p>
            <w:r>
              <w:t>/v2/lotes/{id}</w:t>
            </w:r>
          </w:p>
        </w:tc>
        <w:tc>
          <w:tcPr>
            <w:tcW w:type="dxa" w:w="2160"/>
          </w:tcPr>
          <w:p>
            <w:r>
              <w:t>Elimina un lote (solo rol supervisor)</w:t>
            </w:r>
          </w:p>
        </w:tc>
        <w:tc>
          <w:tcPr>
            <w:tcW w:type="dxa" w:w="2160"/>
          </w:tcPr>
          <w:p>
            <w:r>
              <w:t>30</w:t>
            </w:r>
          </w:p>
        </w:tc>
      </w:tr>
    </w:tbl>
    <w:p>
      <w:pPr>
        <w:pStyle w:val="Heading1"/>
      </w:pPr>
      <w:r>
        <w:t>6. Seguridad</w:t>
      </w:r>
    </w:p>
    <w:p>
      <w:r>
        <w:t>Existen tres roles: operador, supervisor y auditor. El rol auditor es de solo lectura. Solo el rol supervisor puede eliminar lotes. Todas las operaciones quedan en un registro de auditoría que se retiene durante 400 días y no puede modificarse.</w:t>
      </w:r>
    </w:p>
    <w:p>
      <w:pPr>
        <w:pStyle w:val="Heading1"/>
      </w:pPr>
      <w:r>
        <w:t>7. Riesgos</w:t>
      </w:r>
    </w:p>
    <w:p>
      <w:r>
        <w:t>R-04: dependencia del proveedor de firma electrónica FirmaSur. Si FirmaSur no está disponible, no se pueden emitir certificados de origen. Mitigación: cola de certificados pendientes y contrato con un segundo proveedor antes de diciembre de 2026.</w:t>
      </w:r>
    </w:p>
    <w:p>
      <w:r>
        <w:t>R-07: crecimiento del volumen de despachos en temporada alta (febrero a abril). Mitigación: escalamiento horizontal del servicio de despachos y revisión de índices de la base de datos.</w:t>
      </w:r>
    </w:p>
    <w:p>
      <w:pPr>
        <w:pStyle w:val="Heading1"/>
      </w:pPr>
      <w:r>
        <w:t>8. Historial de versiones</w:t>
      </w:r>
    </w:p>
    <w:tbl>
      <w:tblPr>
        <w:tblStyle w:val="TableGrid"/>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Fecha</w:t>
            </w:r>
          </w:p>
        </w:tc>
        <w:tc>
          <w:tcPr>
            <w:tcW w:type="dxa" w:w="2880"/>
          </w:tcPr>
          <w:p>
            <w:r>
              <w:t>Cambio principal</w:t>
            </w:r>
          </w:p>
        </w:tc>
      </w:tr>
      <w:tr>
        <w:tc>
          <w:tcPr>
            <w:tcW w:type="dxa" w:w="2880"/>
          </w:tcPr>
          <w:p>
            <w:r>
              <w:t>2.1</w:t>
            </w:r>
          </w:p>
        </w:tc>
        <w:tc>
          <w:tcPr>
            <w:tcW w:type="dxa" w:w="2880"/>
          </w:tcPr>
          <w:p>
            <w:r>
              <w:t>3 de mayo de 2026</w:t>
            </w:r>
          </w:p>
        </w:tc>
        <w:tc>
          <w:tcPr>
            <w:tcW w:type="dxa" w:w="2880"/>
          </w:tcPr>
          <w:p>
            <w:r>
              <w:t>Latencia p95 objetivo de 500 ms</w:t>
            </w:r>
          </w:p>
        </w:tc>
      </w:tr>
      <w:tr>
        <w:tc>
          <w:tcPr>
            <w:tcW w:type="dxa" w:w="2880"/>
          </w:tcPr>
          <w:p>
            <w:r>
              <w:t>2.2</w:t>
            </w:r>
          </w:p>
        </w:tc>
        <w:tc>
          <w:tcPr>
            <w:tcW w:type="dxa" w:w="2880"/>
          </w:tcPr>
          <w:p>
            <w:r>
              <w:t>20 de junio de 2026</w:t>
            </w:r>
          </w:p>
        </w:tc>
        <w:tc>
          <w:tcPr>
            <w:tcW w:type="dxa" w:w="2880"/>
          </w:tcPr>
          <w:p>
            <w:r>
              <w:t>Latencia p95 objetivo de 420 ms; se agrega Redis</w:t>
            </w:r>
          </w:p>
        </w:tc>
      </w:tr>
      <w:tr>
        <w:tc>
          <w:tcPr>
            <w:tcW w:type="dxa" w:w="2880"/>
          </w:tcPr>
          <w:p>
            <w:r>
              <w:t>2.3</w:t>
            </w:r>
          </w:p>
        </w:tc>
        <w:tc>
          <w:tcPr>
            <w:tcW w:type="dxa" w:w="2880"/>
          </w:tcPr>
          <w:p>
            <w:r>
              <w:t>12 de agosto de 2026</w:t>
            </w:r>
          </w:p>
        </w:tc>
        <w:tc>
          <w:tcPr>
            <w:tcW w:type="dxa" w:w="2880"/>
          </w:tcPr>
          <w:p>
            <w:r>
              <w:t>Latencia p95 objetivo de 350 ms; token JWT de 45 minutos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Documento FICTICIO generado para pruebas del RAG doméstico (octubre de 2026). No corresponde a hechos reales.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Confidencial – Uso interno – Cooperativa Agrícola Valle del Elqui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 Plataforma Cóndor v2.3</dc:title>
  <dc:subject/>
  <dc:creator>Equipo Cóndor</dc:creator>
  <cp:keywords/>
  <dc:description>generated by python-docx</dc:description>
  <cp:lastModifiedBy/>
  <cp:revision>1</cp:revision>
  <dcterms:created xsi:type="dcterms:W3CDTF">2013-12-23T23:15:00Z</dcterms:created>
  <dcterms:modified xsi:type="dcterms:W3CDTF">2013-12-23T23:15:00Z</dcterms:modified>
  <cp:category/>
</cp:coreProperties>
</file>