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clima laboral 2026 – Fundición Los Arrayanes</w:t>
      </w:r>
    </w:p>
    <w:p>
      <w:r>
        <w:t>Elaborado por: Ps. Daniela Fuentes, psicóloga organizacional. Fecha: 22 de septiembre de 2026.</w:t>
      </w:r>
    </w:p>
    <w:p>
      <w:pPr>
        <w:pStyle w:val="Heading1"/>
      </w:pPr>
      <w:r>
        <w:t>1. Metodología</w:t>
      </w:r>
    </w:p>
    <w:p>
      <w:r>
        <w:t>Se aplicó una encuesta en línea entre el 18 y el 29 de agosto de 2026. Respondieron 214 de los 301 trabajadores, lo que equivale a una tasa de respuesta del 71 %. Se usó una escala Likert de 1 a 5, donde 5 es la evaluación más favorable. Para resguardar el anonimato, no se reportan resultados de grupos de menos de 5 personas.</w:t>
      </w:r>
    </w:p>
    <w:p>
      <w:pPr>
        <w:pStyle w:val="Heading1"/>
      </w:pPr>
      <w:r>
        <w:t>2. Resultados por dimensión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Dimensión</w:t>
            </w:r>
          </w:p>
        </w:tc>
        <w:tc>
          <w:tcPr>
            <w:tcW w:type="dxa" w:w="2880"/>
          </w:tcPr>
          <w:p>
            <w:r>
              <w:t>Puntaje promedio (1 a 5)</w:t>
            </w:r>
          </w:p>
        </w:tc>
        <w:tc>
          <w:tcPr>
            <w:tcW w:type="dxa" w:w="2880"/>
          </w:tcPr>
          <w:p>
            <w:r>
              <w:t>Comparación con 2025</w:t>
            </w:r>
          </w:p>
        </w:tc>
      </w:tr>
      <w:tr>
        <w:tc>
          <w:tcPr>
            <w:tcW w:type="dxa" w:w="2880"/>
          </w:tcPr>
          <w:p>
            <w:r>
              <w:t>Liderazgo</w:t>
            </w:r>
          </w:p>
        </w:tc>
        <w:tc>
          <w:tcPr>
            <w:tcW w:type="dxa" w:w="2880"/>
          </w:tcPr>
          <w:p>
            <w:r>
              <w:t>3,8</w:t>
            </w:r>
          </w:p>
        </w:tc>
        <w:tc>
          <w:tcPr>
            <w:tcW w:type="dxa" w:w="2880"/>
          </w:tcPr>
          <w:p>
            <w:r>
              <w:t>+0,2</w:t>
            </w:r>
          </w:p>
        </w:tc>
      </w:tr>
      <w:tr>
        <w:tc>
          <w:tcPr>
            <w:tcW w:type="dxa" w:w="2880"/>
          </w:tcPr>
          <w:p>
            <w:r>
              <w:t>Comunicación interna</w:t>
            </w:r>
          </w:p>
        </w:tc>
        <w:tc>
          <w:tcPr>
            <w:tcW w:type="dxa" w:w="2880"/>
          </w:tcPr>
          <w:p>
            <w:r>
              <w:t>3,1</w:t>
            </w:r>
          </w:p>
        </w:tc>
        <w:tc>
          <w:tcPr>
            <w:tcW w:type="dxa" w:w="2880"/>
          </w:tcPr>
          <w:p>
            <w:r>
              <w:t>-0,1</w:t>
            </w:r>
          </w:p>
        </w:tc>
      </w:tr>
      <w:tr>
        <w:tc>
          <w:tcPr>
            <w:tcW w:type="dxa" w:w="2880"/>
          </w:tcPr>
          <w:p>
            <w:r>
              <w:t>Reconocimiento</w:t>
            </w:r>
          </w:p>
        </w:tc>
        <w:tc>
          <w:tcPr>
            <w:tcW w:type="dxa" w:w="2880"/>
          </w:tcPr>
          <w:p>
            <w:r>
              <w:t>2,7</w:t>
            </w:r>
          </w:p>
        </w:tc>
        <w:tc>
          <w:tcPr>
            <w:tcW w:type="dxa" w:w="2880"/>
          </w:tcPr>
          <w:p>
            <w:r>
              <w:t>-0,3</w:t>
            </w:r>
          </w:p>
        </w:tc>
      </w:tr>
      <w:tr>
        <w:tc>
          <w:tcPr>
            <w:tcW w:type="dxa" w:w="2880"/>
          </w:tcPr>
          <w:p>
            <w:r>
              <w:t>Seguridad psicológica</w:t>
            </w:r>
          </w:p>
        </w:tc>
        <w:tc>
          <w:tcPr>
            <w:tcW w:type="dxa" w:w="2880"/>
          </w:tcPr>
          <w:p>
            <w:r>
              <w:t>3,4</w:t>
            </w:r>
          </w:p>
        </w:tc>
        <w:tc>
          <w:tcPr>
            <w:tcW w:type="dxa" w:w="2880"/>
          </w:tcPr>
          <w:p>
            <w:r>
              <w:t>+0,1</w:t>
            </w:r>
          </w:p>
        </w:tc>
      </w:tr>
      <w:tr>
        <w:tc>
          <w:tcPr>
            <w:tcW w:type="dxa" w:w="2880"/>
          </w:tcPr>
          <w:p>
            <w:r>
              <w:t>Carga de trabajo</w:t>
            </w:r>
          </w:p>
        </w:tc>
        <w:tc>
          <w:tcPr>
            <w:tcW w:type="dxa" w:w="2880"/>
          </w:tcPr>
          <w:p>
            <w:r>
              <w:t>2,9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  <w:tr>
        <w:tc>
          <w:tcPr>
            <w:tcW w:type="dxa" w:w="2880"/>
          </w:tcPr>
          <w:p>
            <w:r>
              <w:t>Compromiso</w:t>
            </w:r>
          </w:p>
        </w:tc>
        <w:tc>
          <w:tcPr>
            <w:tcW w:type="dxa" w:w="2880"/>
          </w:tcPr>
          <w:p>
            <w:r>
              <w:t>4,0</w:t>
            </w:r>
          </w:p>
        </w:tc>
        <w:tc>
          <w:tcPr>
            <w:tcW w:type="dxa" w:w="2880"/>
          </w:tcPr>
          <w:p>
            <w:r>
              <w:t>+0,1</w:t>
            </w:r>
          </w:p>
        </w:tc>
      </w:tr>
    </w:tbl>
    <w:p>
      <w:r>
        <w:t>La dimensión peor evaluada fue Reconocimiento (2,7) y la mejor evaluada fue Compromiso (4,0). El eNPS (employee Net Promoter Score) fue de +12.</w:t>
      </w:r>
    </w:p>
    <w:p>
      <w:pPr>
        <w:pStyle w:val="Heading1"/>
      </w:pPr>
      <w:r>
        <w:t>3. Resultados por área</w:t>
      </w:r>
    </w:p>
    <w:p>
      <w:r>
        <w:t>El área de convertidores obtuvo el puntaje más bajo en Reconocimiento (2,6). En esa área predomina el sistema de turnos 4x4 y los trabajadores señalan que los logros del turno de noche pasan desapercibidos. El área de refinería obtuvo el mejor resultado en Liderazgo (4,1).</w:t>
      </w:r>
    </w:p>
    <w:p>
      <w:pPr>
        <w:pStyle w:val="Heading1"/>
      </w:pPr>
      <w:r>
        <w:t>4. Citas representativas (anónimas)</w:t>
      </w:r>
    </w:p>
    <w:p>
      <w:pPr>
        <w:pStyle w:val="ListBullet"/>
      </w:pPr>
      <w:r>
        <w:t>«Acá uno se entera de los cambios por el pasillo.» (Comunicación interna)</w:t>
      </w:r>
    </w:p>
    <w:p>
      <w:pPr>
        <w:pStyle w:val="ListBullet"/>
      </w:pPr>
      <w:r>
        <w:t>«Si el turno sale bien nadie dice nada; si sale mal, se sabe al tiro.» (Reconocimiento)</w:t>
      </w:r>
    </w:p>
    <w:p>
      <w:pPr>
        <w:pStyle w:val="Heading1"/>
      </w:pPr>
      <w:r>
        <w:t>5. Recomendaciones</w:t>
      </w:r>
    </w:p>
    <w:p>
      <w:pPr>
        <w:pStyle w:val="ListNumber"/>
      </w:pPr>
      <w:r>
        <w:t>Implementar el programa de reconocimiento «Cobre que Suma», con reconocimientos trimestrales por área y por turno.</w:t>
      </w:r>
    </w:p>
    <w:p>
      <w:pPr>
        <w:pStyle w:val="ListNumber"/>
      </w:pPr>
      <w:r>
        <w:t>Formar a todos los supervisores en entrega de feedback (curso de 16 horas).</w:t>
      </w:r>
    </w:p>
    <w:p>
      <w:pPr>
        <w:pStyle w:val="ListNumber"/>
      </w:pPr>
      <w:r>
        <w:t>Aplicar una encuesta de pulso cada 3 meses para monitorear Reconocimiento y Comunicación interna.</w:t>
      </w:r>
    </w:p>
    <w:p>
      <w:pPr>
        <w:pStyle w:val="ListNumber"/>
      </w:pPr>
      <w:r>
        <w:t>Publicar los cambios operativos en un tablero visible en la sala de cambio de turno.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FICTICIO generado para pruebas del RAG doméstico (octubre de 2026). No corresponde a hechos reales.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clima laboral 2026 – Fundición Los Arrayanes</dc:title>
  <dc:subject/>
  <dc:creator>Ps. Daniela Fuentes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