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7456E" w14:textId="77777777" w:rsidR="002A7B6E" w:rsidRDefault="002A7B6E" w:rsidP="00B66C7C">
      <w:pPr>
        <w:jc w:val="both"/>
        <w:rPr>
          <w:rFonts w:ascii="Verdana" w:hAnsi="Verdana"/>
          <w:sz w:val="22"/>
          <w:szCs w:val="22"/>
        </w:rPr>
      </w:pPr>
    </w:p>
    <w:p w14:paraId="75C85561" w14:textId="1838DB04" w:rsidR="002A7B6E" w:rsidRDefault="002A7B6E" w:rsidP="00B66C7C">
      <w:pPr>
        <w:jc w:val="both"/>
        <w:rPr>
          <w:rFonts w:ascii="Verdana" w:hAnsi="Verdana"/>
          <w:sz w:val="22"/>
          <w:szCs w:val="22"/>
        </w:rPr>
      </w:pPr>
      <w:r w:rsidRPr="00D16A28">
        <w:rPr>
          <w:rFonts w:ascii="Verdana" w:hAnsi="Verdana"/>
          <w:sz w:val="22"/>
          <w:szCs w:val="22"/>
          <w:highlight w:val="green"/>
        </w:rPr>
        <w:t xml:space="preserve">DG: Trazar infografía </w:t>
      </w:r>
      <w:r w:rsidR="00D16A28" w:rsidRPr="00D16A28">
        <w:rPr>
          <w:rFonts w:ascii="Verdana" w:hAnsi="Verdana"/>
          <w:sz w:val="22"/>
          <w:szCs w:val="22"/>
          <w:highlight w:val="green"/>
        </w:rPr>
        <w:t xml:space="preserve">comparativa </w:t>
      </w:r>
      <w:r w:rsidRPr="00D16A28">
        <w:rPr>
          <w:rFonts w:ascii="Verdana" w:hAnsi="Verdana"/>
          <w:sz w:val="22"/>
          <w:szCs w:val="22"/>
          <w:highlight w:val="green"/>
        </w:rPr>
        <w:t>que contenga la siguiente información</w:t>
      </w:r>
      <w:r w:rsidR="00C83050">
        <w:rPr>
          <w:rFonts w:ascii="Verdana" w:hAnsi="Verdana"/>
          <w:sz w:val="22"/>
          <w:szCs w:val="22"/>
        </w:rPr>
        <w:t>:</w:t>
      </w:r>
    </w:p>
    <w:p w14:paraId="61E1A27D" w14:textId="77777777" w:rsidR="002A7B6E" w:rsidRDefault="002A7B6E" w:rsidP="00B66C7C">
      <w:pPr>
        <w:jc w:val="both"/>
        <w:rPr>
          <w:rFonts w:ascii="Verdana" w:hAnsi="Verdana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A7B6E" w14:paraId="2CDC1AFB" w14:textId="77777777" w:rsidTr="00C05137">
        <w:tc>
          <w:tcPr>
            <w:tcW w:w="8828" w:type="dxa"/>
            <w:gridSpan w:val="2"/>
          </w:tcPr>
          <w:p w14:paraId="1E57E440" w14:textId="767E5168" w:rsidR="002A7B6E" w:rsidRPr="00741F5D" w:rsidRDefault="002A7B6E" w:rsidP="002A7B6E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41F5D">
              <w:rPr>
                <w:rFonts w:ascii="Verdana" w:hAnsi="Verdana"/>
                <w:b/>
                <w:bCs/>
                <w:sz w:val="22"/>
                <w:szCs w:val="22"/>
              </w:rPr>
              <w:t>¿Qué pasa cuando se tiene exceso o deficiencia de ACTH?</w:t>
            </w:r>
          </w:p>
        </w:tc>
      </w:tr>
      <w:tr w:rsidR="002A7B6E" w14:paraId="14E17B19" w14:textId="77777777" w:rsidTr="002A7B6E">
        <w:tc>
          <w:tcPr>
            <w:tcW w:w="4414" w:type="dxa"/>
          </w:tcPr>
          <w:p w14:paraId="1303DDB6" w14:textId="649E5CC4" w:rsidR="002A7B6E" w:rsidRPr="00741F5D" w:rsidRDefault="002A7B6E" w:rsidP="002A7B6E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41F5D">
              <w:rPr>
                <w:rFonts w:ascii="Verdana" w:hAnsi="Verdana"/>
                <w:b/>
                <w:bCs/>
                <w:sz w:val="22"/>
                <w:szCs w:val="22"/>
              </w:rPr>
              <w:t>Exceso</w:t>
            </w:r>
          </w:p>
        </w:tc>
        <w:tc>
          <w:tcPr>
            <w:tcW w:w="4414" w:type="dxa"/>
          </w:tcPr>
          <w:p w14:paraId="165D5062" w14:textId="2436D302" w:rsidR="002A7B6E" w:rsidRPr="00741F5D" w:rsidRDefault="002A7B6E" w:rsidP="002A7B6E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41F5D">
              <w:rPr>
                <w:rFonts w:ascii="Verdana" w:hAnsi="Verdana"/>
                <w:b/>
                <w:bCs/>
                <w:sz w:val="22"/>
                <w:szCs w:val="22"/>
              </w:rPr>
              <w:t>Deficiencia</w:t>
            </w:r>
          </w:p>
        </w:tc>
      </w:tr>
      <w:tr w:rsidR="00D16A28" w14:paraId="0ADDA0B1" w14:textId="77777777" w:rsidTr="00A9239E">
        <w:tc>
          <w:tcPr>
            <w:tcW w:w="8828" w:type="dxa"/>
            <w:gridSpan w:val="2"/>
          </w:tcPr>
          <w:p w14:paraId="0427EDE2" w14:textId="17705D69" w:rsidR="00D16A28" w:rsidRPr="00741F5D" w:rsidRDefault="00D16A28" w:rsidP="00D16A28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741F5D">
              <w:rPr>
                <w:rFonts w:ascii="Verdana" w:hAnsi="Verdana"/>
                <w:b/>
                <w:bCs/>
                <w:sz w:val="22"/>
                <w:szCs w:val="22"/>
              </w:rPr>
              <w:t>Causas</w:t>
            </w:r>
          </w:p>
        </w:tc>
      </w:tr>
      <w:tr w:rsidR="002A7B6E" w14:paraId="0E67D5CE" w14:textId="77777777" w:rsidTr="002A7B6E">
        <w:tc>
          <w:tcPr>
            <w:tcW w:w="4414" w:type="dxa"/>
          </w:tcPr>
          <w:p w14:paraId="736A5281" w14:textId="750165CC" w:rsidR="002A7B6E" w:rsidRPr="00365287" w:rsidRDefault="00D16A28" w:rsidP="00D16A28">
            <w:pPr>
              <w:pStyle w:val="NormalWeb"/>
              <w:spacing w:before="0" w:beforeAutospacing="0" w:after="0" w:afterAutospacing="0"/>
              <w:jc w:val="both"/>
              <w:rPr>
                <w:rFonts w:ascii="Verdana" w:hAnsi="Verdana" w:cs="Arial"/>
                <w:color w:val="000000"/>
                <w:sz w:val="22"/>
                <w:szCs w:val="22"/>
              </w:rPr>
            </w:pP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Un </w:t>
            </w:r>
            <w:r w:rsidRPr="00365287">
              <w:rPr>
                <w:rFonts w:ascii="Verdana" w:hAnsi="Verdana" w:cs="Arial"/>
                <w:b/>
                <w:bCs/>
                <w:color w:val="000000"/>
                <w:sz w:val="22"/>
                <w:szCs w:val="22"/>
              </w:rPr>
              <w:t>exceso de ACTH</w:t>
            </w:r>
            <w:r w:rsidR="00741F5D"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, 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que puede ser causad</w:t>
            </w:r>
            <w:r w:rsidR="00741F5D" w:rsidRPr="00365287">
              <w:rPr>
                <w:rFonts w:ascii="Verdana" w:hAnsi="Verdana" w:cs="Arial"/>
                <w:color w:val="000000"/>
                <w:sz w:val="22"/>
                <w:szCs w:val="22"/>
              </w:rPr>
              <w:t>o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por un tumor en la hipófisis</w:t>
            </w:r>
            <w:r w:rsidR="00741F5D" w:rsidRPr="00365287">
              <w:rPr>
                <w:rFonts w:ascii="Verdana" w:hAnsi="Verdana" w:cs="Arial"/>
                <w:color w:val="000000"/>
                <w:sz w:val="22"/>
                <w:szCs w:val="22"/>
              </w:rPr>
              <w:t>,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estimula las glándulas suprarrenales </w:t>
            </w:r>
            <w:r w:rsidR="00741F5D" w:rsidRPr="00365287">
              <w:rPr>
                <w:rFonts w:ascii="Verdana" w:hAnsi="Verdana" w:cs="Arial"/>
                <w:color w:val="000000"/>
                <w:sz w:val="22"/>
                <w:szCs w:val="22"/>
              </w:rPr>
              <w:t>y</w:t>
            </w:r>
            <w:r w:rsidR="00CF03DF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produc</w:t>
            </w:r>
            <w:r w:rsidR="00741F5D" w:rsidRPr="00365287">
              <w:rPr>
                <w:rFonts w:ascii="Verdana" w:hAnsi="Verdana" w:cs="Arial"/>
                <w:color w:val="000000"/>
                <w:sz w:val="22"/>
                <w:szCs w:val="22"/>
              </w:rPr>
              <w:t>e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una cantidad excesiva de cortisol, lo que da lugar a una condición conocida como </w:t>
            </w:r>
            <w:r w:rsidRPr="00365287">
              <w:rPr>
                <w:rFonts w:ascii="Verdana" w:hAnsi="Verdana" w:cs="Arial"/>
                <w:b/>
                <w:bCs/>
                <w:color w:val="000000"/>
                <w:sz w:val="22"/>
                <w:szCs w:val="22"/>
              </w:rPr>
              <w:t>síndrome de Cushing</w:t>
            </w:r>
            <w:r w:rsidRPr="00CF03DF">
              <w:rPr>
                <w:rFonts w:ascii="Verdana" w:hAnsi="Verdana" w:cs="Arial"/>
                <w:color w:val="000000"/>
                <w:sz w:val="22"/>
                <w:szCs w:val="22"/>
              </w:rPr>
              <w:t>.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En casos raros, otros tumores fuera de la hipófisis</w:t>
            </w:r>
            <w:r w:rsidR="00006E21">
              <w:rPr>
                <w:rFonts w:ascii="Verdana" w:hAnsi="Verdana" w:cs="Arial"/>
                <w:color w:val="000000"/>
                <w:sz w:val="22"/>
                <w:szCs w:val="22"/>
              </w:rPr>
              <w:t xml:space="preserve">, 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como en</w:t>
            </w:r>
            <w:r w:rsidR="00846309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pulmones, páncreas o tiroides</w:t>
            </w:r>
            <w:r w:rsidR="00006E21">
              <w:rPr>
                <w:rFonts w:ascii="Verdana" w:hAnsi="Verdana" w:cs="Arial"/>
                <w:color w:val="000000"/>
                <w:sz w:val="22"/>
                <w:szCs w:val="22"/>
              </w:rPr>
              <w:t>,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pueden producir ACTH, lo que se conoce como síndrome de </w:t>
            </w:r>
            <w:r w:rsidRPr="00365287">
              <w:rPr>
                <w:rFonts w:ascii="Verdana" w:hAnsi="Verdana" w:cs="Arial"/>
                <w:b/>
                <w:bCs/>
                <w:color w:val="000000"/>
                <w:sz w:val="22"/>
                <w:szCs w:val="22"/>
              </w:rPr>
              <w:t>Cushing ectópico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.</w:t>
            </w:r>
          </w:p>
        </w:tc>
        <w:tc>
          <w:tcPr>
            <w:tcW w:w="4414" w:type="dxa"/>
          </w:tcPr>
          <w:p w14:paraId="50EC2582" w14:textId="142FB982" w:rsidR="002A7B6E" w:rsidRPr="00365287" w:rsidRDefault="00D16A28" w:rsidP="00B66C7C">
            <w:pPr>
              <w:jc w:val="both"/>
              <w:rPr>
                <w:rFonts w:ascii="Verdana" w:hAnsi="Verdana"/>
                <w:sz w:val="22"/>
                <w:szCs w:val="22"/>
              </w:rPr>
            </w:pP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La deficiencia de ACTH puede ser causada por trastornos en la hipófisis</w:t>
            </w:r>
            <w:r w:rsidR="00006E21">
              <w:rPr>
                <w:rFonts w:ascii="Verdana" w:hAnsi="Verdana" w:cs="Arial"/>
                <w:color w:val="000000"/>
                <w:sz w:val="22"/>
                <w:szCs w:val="22"/>
              </w:rPr>
              <w:t xml:space="preserve">, 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>como tumores, cirugías o radiación</w:t>
            </w:r>
            <w:r w:rsidR="00006E21">
              <w:rPr>
                <w:rFonts w:ascii="Verdana" w:hAnsi="Verdana" w:cs="Arial"/>
                <w:color w:val="000000"/>
                <w:sz w:val="22"/>
                <w:szCs w:val="22"/>
              </w:rPr>
              <w:t>,</w:t>
            </w:r>
            <w:r w:rsidRPr="00365287">
              <w:rPr>
                <w:rFonts w:ascii="Verdana" w:hAnsi="Verdana" w:cs="Arial"/>
                <w:color w:val="000000"/>
                <w:sz w:val="22"/>
                <w:szCs w:val="22"/>
              </w:rPr>
              <w:t xml:space="preserve"> o por la interrupción brusca de tratamientos prolongados con corticosteroides.</w:t>
            </w:r>
          </w:p>
        </w:tc>
      </w:tr>
      <w:tr w:rsidR="00D16A28" w:rsidRPr="003B07B7" w14:paraId="678E55A8" w14:textId="77777777" w:rsidTr="009C7379">
        <w:tc>
          <w:tcPr>
            <w:tcW w:w="8828" w:type="dxa"/>
            <w:gridSpan w:val="2"/>
          </w:tcPr>
          <w:p w14:paraId="0CE9271E" w14:textId="3ABB29EB" w:rsidR="00D16A28" w:rsidRPr="003B07B7" w:rsidRDefault="00D16A28" w:rsidP="00D16A28">
            <w:pPr>
              <w:jc w:val="center"/>
              <w:rPr>
                <w:rFonts w:ascii="Verdana" w:hAnsi="Verdana"/>
                <w:b/>
                <w:bCs/>
                <w:sz w:val="22"/>
                <w:szCs w:val="22"/>
              </w:rPr>
            </w:pPr>
            <w:r w:rsidRPr="003B07B7">
              <w:rPr>
                <w:rFonts w:ascii="Verdana" w:hAnsi="Verdana"/>
                <w:b/>
                <w:bCs/>
                <w:sz w:val="22"/>
                <w:szCs w:val="22"/>
              </w:rPr>
              <w:t>Efectos</w:t>
            </w:r>
          </w:p>
        </w:tc>
      </w:tr>
      <w:tr w:rsidR="00D16A28" w14:paraId="44392DA5" w14:textId="77777777" w:rsidTr="002A7B6E">
        <w:tc>
          <w:tcPr>
            <w:tcW w:w="4414" w:type="dxa"/>
          </w:tcPr>
          <w:p w14:paraId="579C833C" w14:textId="47A38737" w:rsidR="00841A13" w:rsidRPr="00365287" w:rsidRDefault="00841A13" w:rsidP="00841A13">
            <w:pPr>
              <w:jc w:val="both"/>
              <w:rPr>
                <w:rFonts w:ascii="Verdana" w:hAnsi="Verdana"/>
                <w:sz w:val="22"/>
                <w:szCs w:val="22"/>
              </w:rPr>
            </w:pPr>
            <w:r w:rsidRPr="00365287">
              <w:rPr>
                <w:rFonts w:ascii="Verdana" w:hAnsi="Verdana"/>
                <w:sz w:val="22"/>
                <w:szCs w:val="22"/>
              </w:rPr>
              <w:t>El exceso de ACTH puede ocasionar insuficiencia suprarrenal</w:t>
            </w:r>
            <w:r w:rsidR="002600D5">
              <w:rPr>
                <w:rFonts w:ascii="Verdana" w:hAnsi="Verdana"/>
                <w:sz w:val="22"/>
                <w:szCs w:val="22"/>
              </w:rPr>
              <w:t xml:space="preserve"> </w:t>
            </w:r>
            <w:r w:rsidR="00006E21">
              <w:rPr>
                <w:rFonts w:ascii="Verdana" w:hAnsi="Verdana"/>
                <w:sz w:val="22"/>
                <w:szCs w:val="22"/>
              </w:rPr>
              <w:t xml:space="preserve">o </w:t>
            </w:r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>enfermedad de Addison</w:t>
            </w:r>
            <w:r w:rsidRPr="00365287">
              <w:rPr>
                <w:rFonts w:ascii="Verdana" w:hAnsi="Verdana"/>
                <w:sz w:val="22"/>
                <w:szCs w:val="22"/>
              </w:rPr>
              <w:t>, que es la manifestación clínica de una reducción en la producción de glucocorticoides</w:t>
            </w:r>
            <w:r w:rsidR="00006E21">
              <w:rPr>
                <w:rFonts w:ascii="Verdana" w:hAnsi="Verdana"/>
                <w:sz w:val="22"/>
                <w:szCs w:val="22"/>
              </w:rPr>
              <w:t xml:space="preserve"> —</w:t>
            </w:r>
            <w:proofErr w:type="spellStart"/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>hipocortisolismo</w:t>
            </w:r>
            <w:proofErr w:type="spellEnd"/>
            <w:r w:rsidR="00006E21">
              <w:rPr>
                <w:rFonts w:ascii="Verdana" w:hAnsi="Verdana"/>
                <w:sz w:val="22"/>
                <w:szCs w:val="22"/>
              </w:rPr>
              <w:t xml:space="preserve">— 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o en la acción de las hormonas glucocorticoides, </w:t>
            </w:r>
            <w:r w:rsidR="003B07B7" w:rsidRPr="00365287">
              <w:rPr>
                <w:rFonts w:ascii="Verdana" w:hAnsi="Verdana"/>
                <w:sz w:val="22"/>
                <w:szCs w:val="22"/>
              </w:rPr>
              <w:t>la cual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puede deberse a una disfunción en tres niveles diferentes del eje HPA. La </w:t>
            </w:r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>insuficiencia suprarrenal primaria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es el resultado de una enfermedad o fallo intrínseco de la corteza suprarrenal en la que la deficiencia de glucocorticoides también se asocia típicamente con la pérdida de otros esteroides suprarrenales.</w:t>
            </w:r>
          </w:p>
        </w:tc>
        <w:tc>
          <w:tcPr>
            <w:tcW w:w="4414" w:type="dxa"/>
          </w:tcPr>
          <w:p w14:paraId="2A6372D5" w14:textId="2E9FDFEA" w:rsidR="00D16A28" w:rsidRPr="00365287" w:rsidRDefault="00841A13" w:rsidP="00B66C7C">
            <w:pPr>
              <w:jc w:val="both"/>
              <w:rPr>
                <w:rFonts w:ascii="Verdana" w:hAnsi="Verdana"/>
                <w:sz w:val="22"/>
                <w:szCs w:val="22"/>
              </w:rPr>
            </w:pPr>
            <w:r w:rsidRPr="00365287">
              <w:rPr>
                <w:rFonts w:ascii="Verdana" w:hAnsi="Verdana"/>
                <w:sz w:val="22"/>
                <w:szCs w:val="22"/>
              </w:rPr>
              <w:t xml:space="preserve">La deficiencia de ACTH puede ocasionar </w:t>
            </w:r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>insuficiencia suprarrenal central</w:t>
            </w:r>
            <w:r w:rsidRPr="00006E21">
              <w:rPr>
                <w:rFonts w:ascii="Verdana" w:hAnsi="Verdana"/>
                <w:sz w:val="22"/>
                <w:szCs w:val="22"/>
              </w:rPr>
              <w:t>,</w:t>
            </w:r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 xml:space="preserve"> 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que es el resultado de una disfunción a nivel de la hipófisis, </w:t>
            </w:r>
            <w:r w:rsidR="003B07B7" w:rsidRPr="00365287">
              <w:rPr>
                <w:rFonts w:ascii="Verdana" w:hAnsi="Verdana"/>
                <w:sz w:val="22"/>
                <w:szCs w:val="22"/>
              </w:rPr>
              <w:t>la cual,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en última instancia</w:t>
            </w:r>
            <w:r w:rsidR="003B07B7" w:rsidRPr="00365287">
              <w:rPr>
                <w:rFonts w:ascii="Verdana" w:hAnsi="Verdana"/>
                <w:sz w:val="22"/>
                <w:szCs w:val="22"/>
              </w:rPr>
              <w:t>,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da lugar a una reducción de la liberación de ACTH </w:t>
            </w:r>
            <w:r w:rsidR="00006E21">
              <w:rPr>
                <w:rFonts w:ascii="Verdana" w:hAnsi="Verdana"/>
                <w:sz w:val="22"/>
                <w:szCs w:val="22"/>
              </w:rPr>
              <w:t>—</w:t>
            </w:r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>insuficiencia suprarrenal secundaria</w:t>
            </w:r>
            <w:r w:rsidR="00006E21">
              <w:rPr>
                <w:rFonts w:ascii="Verdana" w:hAnsi="Verdana"/>
                <w:sz w:val="22"/>
                <w:szCs w:val="22"/>
              </w:rPr>
              <w:t>—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o</w:t>
            </w:r>
            <w:r w:rsidR="003B07B7" w:rsidRPr="00365287">
              <w:rPr>
                <w:rFonts w:ascii="Verdana" w:hAnsi="Verdana"/>
                <w:sz w:val="22"/>
                <w:szCs w:val="22"/>
              </w:rPr>
              <w:t xml:space="preserve"> a nivel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del hipotálamo</w:t>
            </w:r>
            <w:r w:rsidR="003B07B7" w:rsidRPr="00365287">
              <w:rPr>
                <w:rFonts w:ascii="Verdana" w:hAnsi="Verdana"/>
                <w:sz w:val="22"/>
                <w:szCs w:val="22"/>
              </w:rPr>
              <w:t>,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como consecuencia de una reducción de la secreción de CRH o</w:t>
            </w:r>
            <w:r w:rsidR="003B07B7" w:rsidRPr="00365287">
              <w:rPr>
                <w:rFonts w:ascii="Verdana" w:hAnsi="Verdana"/>
                <w:sz w:val="22"/>
                <w:szCs w:val="22"/>
              </w:rPr>
              <w:t xml:space="preserve"> de</w:t>
            </w:r>
            <w:r w:rsidRPr="00365287">
              <w:rPr>
                <w:rFonts w:ascii="Verdana" w:hAnsi="Verdana"/>
                <w:sz w:val="22"/>
                <w:szCs w:val="22"/>
              </w:rPr>
              <w:t xml:space="preserve"> AVP </w:t>
            </w:r>
            <w:r w:rsidR="00006E21">
              <w:rPr>
                <w:rFonts w:ascii="Verdana" w:hAnsi="Verdana"/>
                <w:sz w:val="22"/>
                <w:szCs w:val="22"/>
              </w:rPr>
              <w:t>—</w:t>
            </w:r>
            <w:r w:rsidRPr="00365287">
              <w:rPr>
                <w:rFonts w:ascii="Verdana" w:hAnsi="Verdana"/>
                <w:b/>
                <w:bCs/>
                <w:sz w:val="22"/>
                <w:szCs w:val="22"/>
              </w:rPr>
              <w:t>insuficiencia suprarrenal terciaria</w:t>
            </w:r>
            <w:r w:rsidR="00006E21">
              <w:rPr>
                <w:rFonts w:ascii="Verdana" w:hAnsi="Verdana"/>
                <w:sz w:val="22"/>
                <w:szCs w:val="22"/>
              </w:rPr>
              <w:t>—</w:t>
            </w:r>
            <w:r w:rsidRPr="00365287">
              <w:rPr>
                <w:rFonts w:ascii="Verdana" w:hAnsi="Verdana"/>
                <w:sz w:val="22"/>
                <w:szCs w:val="22"/>
              </w:rPr>
              <w:t>.</w:t>
            </w:r>
          </w:p>
        </w:tc>
      </w:tr>
    </w:tbl>
    <w:p w14:paraId="6178F0B3" w14:textId="77777777" w:rsidR="00E51655" w:rsidRDefault="00E51655"/>
    <w:sectPr w:rsidR="00E516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C7C"/>
    <w:rsid w:val="00006E21"/>
    <w:rsid w:val="000859B8"/>
    <w:rsid w:val="000A2FB2"/>
    <w:rsid w:val="000D3656"/>
    <w:rsid w:val="002600D5"/>
    <w:rsid w:val="00273358"/>
    <w:rsid w:val="002A7B6E"/>
    <w:rsid w:val="00365287"/>
    <w:rsid w:val="0038354A"/>
    <w:rsid w:val="003B07B7"/>
    <w:rsid w:val="00464EB1"/>
    <w:rsid w:val="004A7716"/>
    <w:rsid w:val="005C3D62"/>
    <w:rsid w:val="00641FD6"/>
    <w:rsid w:val="006529B2"/>
    <w:rsid w:val="00741F5D"/>
    <w:rsid w:val="00841A13"/>
    <w:rsid w:val="00846309"/>
    <w:rsid w:val="00973EEA"/>
    <w:rsid w:val="00B24526"/>
    <w:rsid w:val="00B4470A"/>
    <w:rsid w:val="00B66C7C"/>
    <w:rsid w:val="00C14D8E"/>
    <w:rsid w:val="00C83050"/>
    <w:rsid w:val="00CF03DF"/>
    <w:rsid w:val="00D16A28"/>
    <w:rsid w:val="00E32835"/>
    <w:rsid w:val="00E5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29E9"/>
  <w15:chartTrackingRefBased/>
  <w15:docId w15:val="{52F45684-AA51-462D-8AD1-84467091A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C7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66C7C"/>
    <w:pPr>
      <w:spacing w:before="100" w:beforeAutospacing="1" w:after="100" w:afterAutospacing="1"/>
    </w:pPr>
    <w:rPr>
      <w:lang w:val="es-MX" w:eastAsia="es-ES_tradnl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66C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MX" w:eastAsia="es-ES_tradnl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66C7C"/>
    <w:rPr>
      <w:rFonts w:ascii="Courier New" w:eastAsia="Times New Roman" w:hAnsi="Courier New" w:cs="Courier New"/>
      <w:kern w:val="0"/>
      <w:sz w:val="20"/>
      <w:szCs w:val="20"/>
      <w:lang w:eastAsia="es-ES_tradnl"/>
      <w14:ligatures w14:val="none"/>
    </w:rPr>
  </w:style>
  <w:style w:type="character" w:customStyle="1" w:styleId="y2iqfc">
    <w:name w:val="y2iqfc"/>
    <w:basedOn w:val="Fuentedeprrafopredeter"/>
    <w:rsid w:val="00B66C7C"/>
  </w:style>
  <w:style w:type="table" w:styleId="Tablaconcuadrcula">
    <w:name w:val="Table Grid"/>
    <w:basedOn w:val="Tablanormal"/>
    <w:uiPriority w:val="39"/>
    <w:rsid w:val="002A7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B07B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B07B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B07B7"/>
    <w:rPr>
      <w:rFonts w:ascii="Times New Roman" w:eastAsia="Times New Roman" w:hAnsi="Times New Roman" w:cs="Times New Roman"/>
      <w:kern w:val="0"/>
      <w:sz w:val="20"/>
      <w:szCs w:val="20"/>
      <w:lang w:val="es-ES" w:eastAsia="es-MX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B07B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B07B7"/>
    <w:rPr>
      <w:rFonts w:ascii="Times New Roman" w:eastAsia="Times New Roman" w:hAnsi="Times New Roman" w:cs="Times New Roman"/>
      <w:b/>
      <w:bCs/>
      <w:kern w:val="0"/>
      <w:sz w:val="20"/>
      <w:szCs w:val="20"/>
      <w:lang w:val="es-E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Quetzali García</dc:creator>
  <cp:keywords/>
  <dc:description/>
  <cp:lastModifiedBy>Liliana Ramírez Nuño</cp:lastModifiedBy>
  <cp:revision>17</cp:revision>
  <dcterms:created xsi:type="dcterms:W3CDTF">2026-01-05T08:06:00Z</dcterms:created>
  <dcterms:modified xsi:type="dcterms:W3CDTF">2026-06-30T04:51:00Z</dcterms:modified>
</cp:coreProperties>
</file>