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DC9D4" w14:textId="24809942" w:rsidR="00514F22" w:rsidRDefault="00514F22" w:rsidP="0035664E">
      <w:pPr>
        <w:spacing w:after="0" w:line="240" w:lineRule="auto"/>
        <w:jc w:val="both"/>
        <w:rPr>
          <w:rFonts w:ascii="Verdana" w:hAnsi="Verdana"/>
          <w:lang w:val="es-ES"/>
        </w:rPr>
      </w:pPr>
      <w:r w:rsidRPr="00240951">
        <w:rPr>
          <w:rFonts w:ascii="Verdana" w:hAnsi="Verdana"/>
          <w:highlight w:val="green"/>
          <w:lang w:val="es-ES"/>
        </w:rPr>
        <w:t>DG: Trazar infografía</w:t>
      </w:r>
      <w:r w:rsidR="008A3DE6">
        <w:rPr>
          <w:rFonts w:ascii="Verdana" w:hAnsi="Verdana"/>
          <w:highlight w:val="green"/>
          <w:lang w:val="es-ES"/>
        </w:rPr>
        <w:t>, tomando en cuenta el ejemplo,</w:t>
      </w:r>
      <w:r w:rsidRPr="00240951">
        <w:rPr>
          <w:rFonts w:ascii="Verdana" w:hAnsi="Verdana"/>
          <w:highlight w:val="green"/>
          <w:lang w:val="es-ES"/>
        </w:rPr>
        <w:t xml:space="preserve"> que contenga la siguiente información:</w:t>
      </w:r>
    </w:p>
    <w:p w14:paraId="0E91B139" w14:textId="77777777" w:rsidR="0035664E" w:rsidRDefault="0035664E" w:rsidP="0035664E">
      <w:pPr>
        <w:spacing w:after="0" w:line="240" w:lineRule="auto"/>
        <w:rPr>
          <w:rFonts w:ascii="Verdana" w:hAnsi="Verdana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22381" w14:paraId="7F487FAC" w14:textId="77777777" w:rsidTr="00D27E7C">
        <w:tc>
          <w:tcPr>
            <w:tcW w:w="8828" w:type="dxa"/>
            <w:gridSpan w:val="2"/>
          </w:tcPr>
          <w:p w14:paraId="2AA10BA5" w14:textId="0F2CA45C" w:rsidR="00422381" w:rsidRPr="00422381" w:rsidRDefault="00422381" w:rsidP="00015B77">
            <w:pPr>
              <w:tabs>
                <w:tab w:val="left" w:pos="1060"/>
              </w:tabs>
              <w:jc w:val="center"/>
              <w:rPr>
                <w:rFonts w:ascii="Verdana" w:eastAsia="Verdana" w:hAnsi="Verdana" w:cs="Verdana"/>
                <w:i/>
                <w:iCs/>
              </w:rPr>
            </w:pPr>
            <w:r w:rsidRPr="00FF0611">
              <w:rPr>
                <w:rFonts w:ascii="Verdana" w:hAnsi="Verdana"/>
                <w:b/>
                <w:bCs/>
                <w:lang w:val="es-ES"/>
              </w:rPr>
              <w:t xml:space="preserve">Funciones de la </w:t>
            </w:r>
            <w:r w:rsidR="007766AC">
              <w:rPr>
                <w:rFonts w:ascii="Verdana" w:hAnsi="Verdana"/>
                <w:b/>
                <w:bCs/>
                <w:lang w:val="es-ES"/>
              </w:rPr>
              <w:t>h</w:t>
            </w:r>
            <w:r w:rsidRPr="00FF0611">
              <w:rPr>
                <w:rFonts w:ascii="Verdana" w:eastAsia="Verdana" w:hAnsi="Verdana" w:cs="Verdana"/>
                <w:b/>
                <w:bCs/>
              </w:rPr>
              <w:t xml:space="preserve">ormona </w:t>
            </w:r>
            <w:r w:rsidR="007766AC">
              <w:rPr>
                <w:rFonts w:ascii="Verdana" w:eastAsia="Verdana" w:hAnsi="Verdana" w:cs="Verdana"/>
                <w:b/>
                <w:bCs/>
              </w:rPr>
              <w:t>f</w:t>
            </w:r>
            <w:r w:rsidRPr="00FF0611">
              <w:rPr>
                <w:rFonts w:ascii="Verdana" w:eastAsia="Verdana" w:hAnsi="Verdana" w:cs="Verdana"/>
                <w:b/>
                <w:bCs/>
              </w:rPr>
              <w:t>ol</w:t>
            </w:r>
            <w:r w:rsidR="007766AC">
              <w:rPr>
                <w:rFonts w:ascii="Verdana" w:eastAsia="Verdana" w:hAnsi="Verdana" w:cs="Verdana"/>
                <w:b/>
                <w:bCs/>
              </w:rPr>
              <w:t>i</w:t>
            </w:r>
            <w:r w:rsidRPr="00FF0611">
              <w:rPr>
                <w:rFonts w:ascii="Verdana" w:eastAsia="Verdana" w:hAnsi="Verdana" w:cs="Verdana"/>
                <w:b/>
                <w:bCs/>
              </w:rPr>
              <w:t>culo</w:t>
            </w:r>
            <w:r w:rsidR="007766AC">
              <w:rPr>
                <w:rFonts w:ascii="Verdana" w:eastAsia="Verdana" w:hAnsi="Verdana" w:cs="Verdana"/>
                <w:b/>
                <w:bCs/>
              </w:rPr>
              <w:t>e</w:t>
            </w:r>
            <w:r w:rsidRPr="00FF0611">
              <w:rPr>
                <w:rFonts w:ascii="Verdana" w:eastAsia="Verdana" w:hAnsi="Verdana" w:cs="Verdana"/>
                <w:b/>
                <w:bCs/>
              </w:rPr>
              <w:t xml:space="preserve">stimulante (FSH) y de la </w:t>
            </w:r>
            <w:r w:rsidR="007766AC">
              <w:rPr>
                <w:rFonts w:ascii="Verdana" w:eastAsia="Verdana" w:hAnsi="Verdana" w:cs="Verdana"/>
                <w:b/>
                <w:bCs/>
              </w:rPr>
              <w:t>h</w:t>
            </w:r>
            <w:r w:rsidRPr="00FF0611">
              <w:rPr>
                <w:rFonts w:ascii="Verdana" w:eastAsia="Verdana" w:hAnsi="Verdana" w:cs="Verdana"/>
                <w:b/>
                <w:bCs/>
              </w:rPr>
              <w:t xml:space="preserve">ormona </w:t>
            </w:r>
            <w:r w:rsidR="007766AC">
              <w:rPr>
                <w:rFonts w:ascii="Verdana" w:eastAsia="Verdana" w:hAnsi="Verdana" w:cs="Verdana"/>
                <w:b/>
                <w:bCs/>
              </w:rPr>
              <w:t>l</w:t>
            </w:r>
            <w:r w:rsidRPr="00FF0611">
              <w:rPr>
                <w:rFonts w:ascii="Verdana" w:eastAsia="Verdana" w:hAnsi="Verdana" w:cs="Verdana"/>
                <w:b/>
                <w:bCs/>
              </w:rPr>
              <w:t>uteinizante (LH)</w:t>
            </w:r>
          </w:p>
        </w:tc>
      </w:tr>
      <w:tr w:rsidR="00422381" w14:paraId="171B55AD" w14:textId="77777777" w:rsidTr="00B02B15">
        <w:tc>
          <w:tcPr>
            <w:tcW w:w="8828" w:type="dxa"/>
            <w:gridSpan w:val="2"/>
          </w:tcPr>
          <w:p w14:paraId="6D41F9DC" w14:textId="05AD78BB" w:rsidR="00422381" w:rsidRPr="00422381" w:rsidRDefault="00422381" w:rsidP="00422381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422381">
              <w:rPr>
                <w:rFonts w:ascii="Verdana" w:hAnsi="Verdana"/>
                <w:b/>
                <w:bCs/>
                <w:lang w:val="es-ES"/>
              </w:rPr>
              <w:t>FSH</w:t>
            </w:r>
          </w:p>
        </w:tc>
      </w:tr>
      <w:tr w:rsidR="00422381" w14:paraId="7C96218A" w14:textId="77777777" w:rsidTr="008673B2">
        <w:tc>
          <w:tcPr>
            <w:tcW w:w="8828" w:type="dxa"/>
            <w:gridSpan w:val="2"/>
          </w:tcPr>
          <w:p w14:paraId="70BC22F6" w14:textId="1BDBAA4D" w:rsidR="00422381" w:rsidRPr="00422381" w:rsidRDefault="00422381" w:rsidP="00422381">
            <w:pPr>
              <w:tabs>
                <w:tab w:val="left" w:pos="1060"/>
              </w:tabs>
              <w:jc w:val="both"/>
              <w:rPr>
                <w:rFonts w:ascii="Verdana" w:eastAsia="Verdana" w:hAnsi="Verdana" w:cs="Verdana"/>
              </w:rPr>
            </w:pPr>
            <w:r w:rsidRPr="00663247">
              <w:rPr>
                <w:rFonts w:ascii="Verdana" w:eastAsia="Verdana" w:hAnsi="Verdana" w:cs="Verdana"/>
              </w:rPr>
              <w:t>La FSH, como su nombre lo indica, se encarga de estimular los folículos, aunque su función varía según el sexo</w:t>
            </w:r>
            <w:r>
              <w:rPr>
                <w:rFonts w:ascii="Verdana" w:eastAsia="Verdana" w:hAnsi="Verdana" w:cs="Verdana"/>
              </w:rPr>
              <w:t>:</w:t>
            </w:r>
          </w:p>
        </w:tc>
      </w:tr>
      <w:tr w:rsidR="00422381" w14:paraId="6A818F99" w14:textId="77777777" w:rsidTr="00422381">
        <w:tc>
          <w:tcPr>
            <w:tcW w:w="4414" w:type="dxa"/>
          </w:tcPr>
          <w:p w14:paraId="4CF26864" w14:textId="77777777" w:rsidR="00422381" w:rsidRPr="00E66913" w:rsidRDefault="00422381" w:rsidP="00422381">
            <w:pPr>
              <w:tabs>
                <w:tab w:val="left" w:pos="1060"/>
              </w:tabs>
              <w:jc w:val="both"/>
              <w:rPr>
                <w:rFonts w:ascii="Verdana" w:eastAsia="Verdana" w:hAnsi="Verdana" w:cs="Verdana"/>
                <w:bCs/>
              </w:rPr>
            </w:pPr>
            <w:r w:rsidRPr="00E66913">
              <w:rPr>
                <w:rFonts w:ascii="Verdana" w:eastAsia="Verdana" w:hAnsi="Verdana" w:cs="Verdana"/>
                <w:bCs/>
              </w:rPr>
              <w:t>En mujeres:</w:t>
            </w:r>
          </w:p>
          <w:p w14:paraId="0A9BB39A" w14:textId="201549DF" w:rsidR="00422381" w:rsidRPr="00663247" w:rsidRDefault="00BC42DB" w:rsidP="00422381">
            <w:pPr>
              <w:numPr>
                <w:ilvl w:val="0"/>
                <w:numId w:val="1"/>
              </w:numPr>
              <w:tabs>
                <w:tab w:val="left" w:pos="1060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E</w:t>
            </w:r>
            <w:r w:rsidR="00422381" w:rsidRPr="00663247">
              <w:rPr>
                <w:rFonts w:ascii="Verdana" w:eastAsia="Verdana" w:hAnsi="Verdana" w:cs="Verdana"/>
              </w:rPr>
              <w:t>stimula el crecimiento y la maduración de los folículos ováricos en los ovarios durante la primera fase del ciclo menstrual. Cada folículo contiene un óvulo inmaduro.</w:t>
            </w:r>
          </w:p>
          <w:p w14:paraId="269193CF" w14:textId="25B4AAAC" w:rsidR="00422381" w:rsidRPr="00422381" w:rsidRDefault="00422381" w:rsidP="00422381">
            <w:pPr>
              <w:numPr>
                <w:ilvl w:val="0"/>
                <w:numId w:val="1"/>
              </w:numPr>
              <w:tabs>
                <w:tab w:val="left" w:pos="1060"/>
              </w:tabs>
              <w:jc w:val="both"/>
              <w:rPr>
                <w:rFonts w:ascii="Verdana" w:eastAsia="Verdana" w:hAnsi="Verdana" w:cs="Verdana"/>
              </w:rPr>
            </w:pPr>
            <w:r w:rsidRPr="00663247">
              <w:rPr>
                <w:rFonts w:ascii="Verdana" w:eastAsia="Verdana" w:hAnsi="Verdana" w:cs="Verdana"/>
              </w:rPr>
              <w:t>A medida que los folículos maduran bajo la influencia de la FSH, secretan estrógenos, las hormonas sexuales femeninas</w:t>
            </w:r>
            <w:r w:rsidR="0035664E">
              <w:rPr>
                <w:rFonts w:ascii="Verdana" w:eastAsia="Verdana" w:hAnsi="Verdana" w:cs="Verdana"/>
              </w:rPr>
              <w:t>, que</w:t>
            </w:r>
            <w:r w:rsidRPr="00663247">
              <w:rPr>
                <w:rFonts w:ascii="Verdana" w:eastAsia="Verdana" w:hAnsi="Verdana" w:cs="Verdana"/>
              </w:rPr>
              <w:t xml:space="preserve"> son clave para el crecimiento del revestimiento uterino </w:t>
            </w:r>
            <w:r w:rsidR="0035664E">
              <w:rPr>
                <w:rFonts w:ascii="Verdana" w:eastAsia="Verdana" w:hAnsi="Verdana" w:cs="Verdana"/>
              </w:rPr>
              <w:t>—</w:t>
            </w:r>
            <w:r w:rsidRPr="00663247">
              <w:rPr>
                <w:rFonts w:ascii="Verdana" w:eastAsia="Verdana" w:hAnsi="Verdana" w:cs="Verdana"/>
              </w:rPr>
              <w:t>endometrio</w:t>
            </w:r>
            <w:r w:rsidR="0035664E">
              <w:rPr>
                <w:rFonts w:ascii="Verdana" w:eastAsia="Verdana" w:hAnsi="Verdana" w:cs="Verdana"/>
              </w:rPr>
              <w:t>—</w:t>
            </w:r>
            <w:r w:rsidR="0035664E">
              <w:rPr>
                <w:rFonts w:ascii="Verdana" w:eastAsia="Verdana" w:hAnsi="Verdana" w:cs="Verdana"/>
              </w:rPr>
              <w:t>,</w:t>
            </w:r>
            <w:r w:rsidRPr="00663247">
              <w:rPr>
                <w:rFonts w:ascii="Verdana" w:eastAsia="Verdana" w:hAnsi="Verdana" w:cs="Verdana"/>
              </w:rPr>
              <w:t xml:space="preserve"> en preparación para un posible embarazo.</w:t>
            </w:r>
          </w:p>
        </w:tc>
        <w:tc>
          <w:tcPr>
            <w:tcW w:w="4414" w:type="dxa"/>
          </w:tcPr>
          <w:p w14:paraId="3639F194" w14:textId="77777777" w:rsidR="00422381" w:rsidRPr="00E66913" w:rsidRDefault="00422381" w:rsidP="00422381">
            <w:pPr>
              <w:tabs>
                <w:tab w:val="left" w:pos="1060"/>
              </w:tabs>
              <w:jc w:val="both"/>
              <w:rPr>
                <w:rFonts w:ascii="Verdana" w:eastAsia="Verdana" w:hAnsi="Verdana" w:cs="Verdana"/>
                <w:bCs/>
              </w:rPr>
            </w:pPr>
            <w:r w:rsidRPr="00E66913">
              <w:rPr>
                <w:rFonts w:ascii="Verdana" w:eastAsia="Verdana" w:hAnsi="Verdana" w:cs="Verdana"/>
                <w:bCs/>
              </w:rPr>
              <w:t>En hombres:</w:t>
            </w:r>
          </w:p>
          <w:p w14:paraId="39E03C99" w14:textId="6E4E8050" w:rsidR="00422381" w:rsidRPr="007766AC" w:rsidRDefault="00BC42DB" w:rsidP="00422381">
            <w:pPr>
              <w:numPr>
                <w:ilvl w:val="0"/>
                <w:numId w:val="2"/>
              </w:numPr>
              <w:tabs>
                <w:tab w:val="left" w:pos="1060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E</w:t>
            </w:r>
            <w:r w:rsidR="00422381" w:rsidRPr="00663247">
              <w:rPr>
                <w:rFonts w:ascii="Verdana" w:eastAsia="Verdana" w:hAnsi="Verdana" w:cs="Verdana"/>
              </w:rPr>
              <w:t>s esencial para la producción de espermatozoides en los testículos</w:t>
            </w:r>
            <w:r w:rsidR="0035664E">
              <w:rPr>
                <w:rFonts w:ascii="Verdana" w:eastAsia="Verdana" w:hAnsi="Verdana" w:cs="Verdana"/>
              </w:rPr>
              <w:t>; a</w:t>
            </w:r>
            <w:r w:rsidR="00422381" w:rsidRPr="00663247">
              <w:rPr>
                <w:rFonts w:ascii="Verdana" w:eastAsia="Verdana" w:hAnsi="Verdana" w:cs="Verdana"/>
              </w:rPr>
              <w:t xml:space="preserve">ctúa sobre las </w:t>
            </w:r>
            <w:r w:rsidR="00422381" w:rsidRPr="00E66913">
              <w:rPr>
                <w:rFonts w:ascii="Verdana" w:eastAsia="Verdana" w:hAnsi="Verdana" w:cs="Verdana"/>
                <w:bCs/>
              </w:rPr>
              <w:t>células de Sertoli</w:t>
            </w:r>
            <w:r w:rsidR="00422381" w:rsidRPr="00E66913">
              <w:rPr>
                <w:rFonts w:ascii="Verdana" w:eastAsia="Verdana" w:hAnsi="Verdana" w:cs="Verdana"/>
              </w:rPr>
              <w:t>,</w:t>
            </w:r>
            <w:r w:rsidR="00422381" w:rsidRPr="00663247">
              <w:rPr>
                <w:rFonts w:ascii="Verdana" w:eastAsia="Verdana" w:hAnsi="Verdana" w:cs="Verdana"/>
              </w:rPr>
              <w:t xml:space="preserve"> que se encuentran en los túbulos seminíferos de los testículos</w:t>
            </w:r>
            <w:r w:rsidR="0035664E">
              <w:rPr>
                <w:rFonts w:ascii="Verdana" w:eastAsia="Verdana" w:hAnsi="Verdana" w:cs="Verdana"/>
              </w:rPr>
              <w:t>,</w:t>
            </w:r>
            <w:r w:rsidR="00422381" w:rsidRPr="00663247">
              <w:rPr>
                <w:rFonts w:ascii="Verdana" w:eastAsia="Verdana" w:hAnsi="Verdana" w:cs="Verdana"/>
              </w:rPr>
              <w:t xml:space="preserve"> para apoyar el desarrollo de los espermatozoides.</w:t>
            </w:r>
          </w:p>
        </w:tc>
      </w:tr>
      <w:tr w:rsidR="00422381" w14:paraId="0FB1825F" w14:textId="77777777" w:rsidTr="00AD634D">
        <w:tc>
          <w:tcPr>
            <w:tcW w:w="8828" w:type="dxa"/>
            <w:gridSpan w:val="2"/>
          </w:tcPr>
          <w:p w14:paraId="40F4F03F" w14:textId="5C8A3EB0" w:rsidR="00422381" w:rsidRPr="00422381" w:rsidRDefault="00422381" w:rsidP="00422381">
            <w:pPr>
              <w:jc w:val="center"/>
              <w:rPr>
                <w:rFonts w:ascii="Verdana" w:hAnsi="Verdana"/>
                <w:b/>
                <w:bCs/>
                <w:lang w:val="es-ES"/>
              </w:rPr>
            </w:pPr>
            <w:r w:rsidRPr="00422381">
              <w:rPr>
                <w:rFonts w:ascii="Verdana" w:hAnsi="Verdana"/>
                <w:b/>
                <w:bCs/>
                <w:lang w:val="es-ES"/>
              </w:rPr>
              <w:t>LH</w:t>
            </w:r>
          </w:p>
        </w:tc>
      </w:tr>
      <w:tr w:rsidR="00422381" w14:paraId="7C3BE5E9" w14:textId="77777777" w:rsidTr="00BA32F4">
        <w:tc>
          <w:tcPr>
            <w:tcW w:w="8828" w:type="dxa"/>
            <w:gridSpan w:val="2"/>
          </w:tcPr>
          <w:p w14:paraId="529D6BC2" w14:textId="50888D6B" w:rsidR="00422381" w:rsidRPr="00422381" w:rsidRDefault="00422381" w:rsidP="00422381">
            <w:pPr>
              <w:tabs>
                <w:tab w:val="left" w:pos="1060"/>
              </w:tabs>
              <w:jc w:val="both"/>
              <w:rPr>
                <w:rFonts w:ascii="Verdana" w:eastAsia="Verdana" w:hAnsi="Verdana" w:cs="Verdana"/>
              </w:rPr>
            </w:pPr>
            <w:r w:rsidRPr="00663247">
              <w:rPr>
                <w:rFonts w:ascii="Verdana" w:eastAsia="Verdana" w:hAnsi="Verdana" w:cs="Verdana"/>
              </w:rPr>
              <w:t>La LH trabaja en conjunto con la FSH para controlar el ciclo reproductivo.</w:t>
            </w:r>
          </w:p>
        </w:tc>
      </w:tr>
      <w:tr w:rsidR="00422381" w14:paraId="6CC89408" w14:textId="77777777" w:rsidTr="00422381">
        <w:tc>
          <w:tcPr>
            <w:tcW w:w="4414" w:type="dxa"/>
          </w:tcPr>
          <w:p w14:paraId="51B4A80E" w14:textId="77777777" w:rsidR="00422381" w:rsidRPr="00E66913" w:rsidRDefault="00422381" w:rsidP="00422381">
            <w:pPr>
              <w:tabs>
                <w:tab w:val="left" w:pos="1060"/>
              </w:tabs>
              <w:jc w:val="both"/>
              <w:rPr>
                <w:rFonts w:ascii="Verdana" w:eastAsia="Verdana" w:hAnsi="Verdana" w:cs="Verdana"/>
                <w:bCs/>
              </w:rPr>
            </w:pPr>
            <w:r w:rsidRPr="00E66913">
              <w:rPr>
                <w:rFonts w:ascii="Verdana" w:eastAsia="Verdana" w:hAnsi="Verdana" w:cs="Verdana"/>
                <w:bCs/>
              </w:rPr>
              <w:t>En mujeres:</w:t>
            </w:r>
          </w:p>
          <w:p w14:paraId="1A9FF6E2" w14:textId="082C3EF2" w:rsidR="00422381" w:rsidRPr="00663247" w:rsidRDefault="00422381" w:rsidP="00422381">
            <w:pPr>
              <w:numPr>
                <w:ilvl w:val="0"/>
                <w:numId w:val="3"/>
              </w:numPr>
              <w:tabs>
                <w:tab w:val="left" w:pos="1060"/>
              </w:tabs>
              <w:jc w:val="both"/>
              <w:rPr>
                <w:rFonts w:ascii="Verdana" w:eastAsia="Verdana" w:hAnsi="Verdana" w:cs="Verdana"/>
              </w:rPr>
            </w:pPr>
            <w:r w:rsidRPr="00663247">
              <w:rPr>
                <w:rFonts w:ascii="Verdana" w:eastAsia="Verdana" w:hAnsi="Verdana" w:cs="Verdana"/>
              </w:rPr>
              <w:t xml:space="preserve">A mitad del ciclo menstrual, un rápido y masivo aumento de LH, conocido como </w:t>
            </w:r>
            <w:r w:rsidR="0035664E">
              <w:rPr>
                <w:rFonts w:ascii="Verdana" w:eastAsia="Verdana" w:hAnsi="Verdana" w:cs="Verdana"/>
              </w:rPr>
              <w:t>“</w:t>
            </w:r>
            <w:r w:rsidRPr="00535DBB">
              <w:rPr>
                <w:rFonts w:ascii="Verdana" w:eastAsia="Verdana" w:hAnsi="Verdana" w:cs="Verdana"/>
              </w:rPr>
              <w:t>pico de LH</w:t>
            </w:r>
            <w:r w:rsidR="0035664E">
              <w:rPr>
                <w:rFonts w:ascii="Verdana" w:eastAsia="Verdana" w:hAnsi="Verdana" w:cs="Verdana"/>
              </w:rPr>
              <w:t>”</w:t>
            </w:r>
            <w:r w:rsidRPr="00535DBB">
              <w:rPr>
                <w:rFonts w:ascii="Verdana" w:eastAsia="Verdana" w:hAnsi="Verdana" w:cs="Verdana"/>
              </w:rPr>
              <w:t>,</w:t>
            </w:r>
            <w:r w:rsidRPr="00663247">
              <w:rPr>
                <w:rFonts w:ascii="Verdana" w:eastAsia="Verdana" w:hAnsi="Verdana" w:cs="Verdana"/>
              </w:rPr>
              <w:t xml:space="preserve"> desencadena la ovulación. Este pico provoca la ruptura del folículo maduro, liberando el óvulo para que pueda ser fertilizado.</w:t>
            </w:r>
          </w:p>
          <w:p w14:paraId="20F02630" w14:textId="121FE131" w:rsidR="00422381" w:rsidRPr="00422381" w:rsidRDefault="00422381" w:rsidP="00422381">
            <w:pPr>
              <w:numPr>
                <w:ilvl w:val="0"/>
                <w:numId w:val="3"/>
              </w:numPr>
              <w:tabs>
                <w:tab w:val="left" w:pos="1060"/>
              </w:tabs>
              <w:jc w:val="both"/>
              <w:rPr>
                <w:rFonts w:ascii="Verdana" w:eastAsia="Verdana" w:hAnsi="Verdana" w:cs="Verdana"/>
              </w:rPr>
            </w:pPr>
            <w:r w:rsidRPr="00663247">
              <w:rPr>
                <w:rFonts w:ascii="Verdana" w:eastAsia="Verdana" w:hAnsi="Verdana" w:cs="Verdana"/>
              </w:rPr>
              <w:t xml:space="preserve">Después de la ovulación, la LH estimula las células restantes del folículo para que se transformen en una estructura llamada </w:t>
            </w:r>
            <w:r w:rsidRPr="00535DBB">
              <w:rPr>
                <w:rFonts w:ascii="Verdana" w:eastAsia="Verdana" w:hAnsi="Verdana" w:cs="Verdana"/>
              </w:rPr>
              <w:t>cuerpo lúteo</w:t>
            </w:r>
            <w:r w:rsidR="007766AC">
              <w:rPr>
                <w:rFonts w:ascii="Verdana" w:eastAsia="Verdana" w:hAnsi="Verdana" w:cs="Verdana"/>
              </w:rPr>
              <w:t>,</w:t>
            </w:r>
            <w:r w:rsidRPr="00663247">
              <w:rPr>
                <w:rFonts w:ascii="Verdana" w:eastAsia="Verdana" w:hAnsi="Verdana" w:cs="Verdana"/>
              </w:rPr>
              <w:t xml:space="preserve"> </w:t>
            </w:r>
            <w:r w:rsidR="0035664E">
              <w:rPr>
                <w:rFonts w:ascii="Verdana" w:eastAsia="Verdana" w:hAnsi="Verdana" w:cs="Verdana"/>
              </w:rPr>
              <w:t xml:space="preserve">que </w:t>
            </w:r>
            <w:r w:rsidRPr="00663247">
              <w:rPr>
                <w:rFonts w:ascii="Verdana" w:eastAsia="Verdana" w:hAnsi="Verdana" w:cs="Verdana"/>
              </w:rPr>
              <w:t>es vital para producir la hormona progesterona, que prepara el útero para la implantación del embrión y mantiene un posible embarazo temprano.</w:t>
            </w:r>
          </w:p>
        </w:tc>
        <w:tc>
          <w:tcPr>
            <w:tcW w:w="4414" w:type="dxa"/>
          </w:tcPr>
          <w:p w14:paraId="62C36BA8" w14:textId="77777777" w:rsidR="00422381" w:rsidRPr="00E66913" w:rsidRDefault="00422381" w:rsidP="00422381">
            <w:pPr>
              <w:tabs>
                <w:tab w:val="left" w:pos="1060"/>
              </w:tabs>
              <w:jc w:val="both"/>
              <w:rPr>
                <w:rFonts w:ascii="Verdana" w:eastAsia="Verdana" w:hAnsi="Verdana" w:cs="Verdana"/>
                <w:bCs/>
              </w:rPr>
            </w:pPr>
            <w:r w:rsidRPr="00E66913">
              <w:rPr>
                <w:rFonts w:ascii="Verdana" w:eastAsia="Verdana" w:hAnsi="Verdana" w:cs="Verdana"/>
                <w:bCs/>
              </w:rPr>
              <w:t>En hombres:</w:t>
            </w:r>
          </w:p>
          <w:p w14:paraId="37F5D3BC" w14:textId="28F98E4F" w:rsidR="00422381" w:rsidRPr="00422381" w:rsidRDefault="007D1A61" w:rsidP="00422381">
            <w:pPr>
              <w:numPr>
                <w:ilvl w:val="0"/>
                <w:numId w:val="4"/>
              </w:numPr>
              <w:tabs>
                <w:tab w:val="left" w:pos="1060"/>
              </w:tabs>
              <w:jc w:val="both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A</w:t>
            </w:r>
            <w:r w:rsidR="00422381" w:rsidRPr="00663247">
              <w:rPr>
                <w:rFonts w:ascii="Verdana" w:eastAsia="Verdana" w:hAnsi="Verdana" w:cs="Verdana"/>
              </w:rPr>
              <w:t xml:space="preserve">ctúa sobre las </w:t>
            </w:r>
            <w:r w:rsidR="00422381" w:rsidRPr="00E66913">
              <w:rPr>
                <w:rFonts w:ascii="Verdana" w:eastAsia="Verdana" w:hAnsi="Verdana" w:cs="Verdana"/>
                <w:bCs/>
              </w:rPr>
              <w:t>células de Leydig</w:t>
            </w:r>
            <w:r w:rsidR="00422381" w:rsidRPr="00663247">
              <w:rPr>
                <w:rFonts w:ascii="Verdana" w:eastAsia="Verdana" w:hAnsi="Verdana" w:cs="Verdana"/>
              </w:rPr>
              <w:t xml:space="preserve"> en los testículos, </w:t>
            </w:r>
            <w:r w:rsidR="0035664E">
              <w:rPr>
                <w:rFonts w:ascii="Verdana" w:eastAsia="Verdana" w:hAnsi="Verdana" w:cs="Verdana"/>
              </w:rPr>
              <w:t>a las cuales estimula</w:t>
            </w:r>
            <w:r w:rsidR="00422381" w:rsidRPr="00663247">
              <w:rPr>
                <w:rFonts w:ascii="Verdana" w:eastAsia="Verdana" w:hAnsi="Verdana" w:cs="Verdana"/>
              </w:rPr>
              <w:t xml:space="preserve"> para que produzcan testosterona. La testosterona es fundamental para la producción de espermatozoides </w:t>
            </w:r>
            <w:r w:rsidR="0035664E">
              <w:rPr>
                <w:rFonts w:ascii="Verdana" w:eastAsia="Verdana" w:hAnsi="Verdana" w:cs="Verdana"/>
              </w:rPr>
              <w:t>—</w:t>
            </w:r>
            <w:r w:rsidR="00422381" w:rsidRPr="00663247">
              <w:rPr>
                <w:rFonts w:ascii="Verdana" w:eastAsia="Verdana" w:hAnsi="Verdana" w:cs="Verdana"/>
              </w:rPr>
              <w:t>espermatogénesis</w:t>
            </w:r>
            <w:r w:rsidR="0035664E">
              <w:rPr>
                <w:rFonts w:ascii="Verdana" w:eastAsia="Verdana" w:hAnsi="Verdana" w:cs="Verdana"/>
              </w:rPr>
              <w:t>—</w:t>
            </w:r>
            <w:r w:rsidR="00422381" w:rsidRPr="00663247">
              <w:rPr>
                <w:rFonts w:ascii="Verdana" w:eastAsia="Verdana" w:hAnsi="Verdana" w:cs="Verdana"/>
              </w:rPr>
              <w:t xml:space="preserve"> y para el desarrollo de los caracteres sexuales secundarios masculinos.</w:t>
            </w:r>
          </w:p>
        </w:tc>
      </w:tr>
    </w:tbl>
    <w:p w14:paraId="4BD8A680" w14:textId="77777777" w:rsidR="00422381" w:rsidRDefault="00422381" w:rsidP="0035664E">
      <w:pPr>
        <w:spacing w:after="0"/>
        <w:rPr>
          <w:rFonts w:ascii="Verdana" w:hAnsi="Verdana"/>
          <w:lang w:val="es-ES"/>
        </w:rPr>
      </w:pPr>
    </w:p>
    <w:p w14:paraId="6A1000EF" w14:textId="02954297" w:rsidR="00FF0611" w:rsidRDefault="00864322" w:rsidP="0035664E">
      <w:pPr>
        <w:spacing w:after="0"/>
        <w:rPr>
          <w:rFonts w:ascii="Verdana" w:hAnsi="Verdana"/>
          <w:lang w:val="es-ES"/>
        </w:rPr>
      </w:pPr>
      <w:r w:rsidRPr="008A3DE6">
        <w:rPr>
          <w:rFonts w:ascii="Verdana" w:hAnsi="Verdana"/>
          <w:highlight w:val="green"/>
          <w:lang w:val="es-ES"/>
        </w:rPr>
        <w:t>Ejemplo:</w:t>
      </w:r>
    </w:p>
    <w:p w14:paraId="7CE646BD" w14:textId="2AB4A516" w:rsidR="00864322" w:rsidRDefault="00864322" w:rsidP="00864322">
      <w:pPr>
        <w:jc w:val="center"/>
        <w:rPr>
          <w:rFonts w:ascii="Verdana" w:hAnsi="Verdana"/>
          <w:lang w:val="es-ES"/>
        </w:rPr>
      </w:pPr>
      <w:r>
        <w:rPr>
          <w:rFonts w:ascii="Verdana" w:hAnsi="Verdana"/>
          <w:noProof/>
          <w:lang w:val="es-ES"/>
        </w:rPr>
        <w:lastRenderedPageBreak/>
        <w:drawing>
          <wp:inline distT="0" distB="0" distL="0" distR="0" wp14:anchorId="0FDDC3BE" wp14:editId="710F7E04">
            <wp:extent cx="4805167" cy="720000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167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3877" w14:textId="31A285EA" w:rsidR="00864322" w:rsidRPr="00015B77" w:rsidRDefault="00864322" w:rsidP="00015B77">
      <w:pPr>
        <w:spacing w:after="0" w:line="240" w:lineRule="auto"/>
        <w:jc w:val="center"/>
        <w:rPr>
          <w:rFonts w:ascii="Verdana" w:hAnsi="Verdana"/>
          <w:sz w:val="18"/>
          <w:szCs w:val="18"/>
          <w:lang w:val="es-ES"/>
        </w:rPr>
      </w:pPr>
      <w:r w:rsidRPr="00015B77">
        <w:rPr>
          <w:rFonts w:ascii="Verdana" w:hAnsi="Verdana"/>
          <w:sz w:val="18"/>
          <w:szCs w:val="18"/>
          <w:lang w:val="es-ES"/>
        </w:rPr>
        <w:t>Badillo, C. (s.</w:t>
      </w:r>
      <w:r w:rsidR="00015B77" w:rsidRPr="00015B77">
        <w:rPr>
          <w:rFonts w:ascii="Verdana" w:hAnsi="Verdana"/>
          <w:sz w:val="18"/>
          <w:szCs w:val="18"/>
          <w:lang w:val="es-ES"/>
        </w:rPr>
        <w:t xml:space="preserve"> </w:t>
      </w:r>
      <w:r w:rsidRPr="00015B77">
        <w:rPr>
          <w:rFonts w:ascii="Verdana" w:hAnsi="Verdana"/>
          <w:sz w:val="18"/>
          <w:szCs w:val="18"/>
          <w:lang w:val="es-ES"/>
        </w:rPr>
        <w:t xml:space="preserve">f.). </w:t>
      </w:r>
      <w:r w:rsidRPr="00015B77">
        <w:rPr>
          <w:rFonts w:ascii="Verdana" w:hAnsi="Verdana"/>
          <w:i/>
          <w:iCs/>
          <w:sz w:val="18"/>
          <w:szCs w:val="18"/>
          <w:lang w:val="es-ES"/>
        </w:rPr>
        <w:t>Infografía hormona luteinizante</w:t>
      </w:r>
      <w:r w:rsidRPr="00015B77">
        <w:rPr>
          <w:rFonts w:ascii="Verdana" w:hAnsi="Verdana"/>
          <w:sz w:val="18"/>
          <w:szCs w:val="18"/>
          <w:lang w:val="es-ES"/>
        </w:rPr>
        <w:t xml:space="preserve"> [imagen]. Tomada de </w:t>
      </w:r>
      <w:hyperlink r:id="rId6" w:history="1">
        <w:r w:rsidRPr="00015B77">
          <w:rPr>
            <w:rStyle w:val="Hipervnculo"/>
            <w:rFonts w:ascii="Verdana" w:hAnsi="Verdana"/>
            <w:sz w:val="18"/>
            <w:szCs w:val="18"/>
            <w:lang w:val="es-ES"/>
          </w:rPr>
          <w:t>https://www.fertilt.com/hormona-luteinizante-o-lh/</w:t>
        </w:r>
      </w:hyperlink>
    </w:p>
    <w:sectPr w:rsidR="00864322" w:rsidRPr="00015B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1692A"/>
    <w:multiLevelType w:val="multilevel"/>
    <w:tmpl w:val="86C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36E14"/>
    <w:multiLevelType w:val="multilevel"/>
    <w:tmpl w:val="F48C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77B96"/>
    <w:multiLevelType w:val="multilevel"/>
    <w:tmpl w:val="DE6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E1597"/>
    <w:multiLevelType w:val="multilevel"/>
    <w:tmpl w:val="CE3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729546">
    <w:abstractNumId w:val="0"/>
  </w:num>
  <w:num w:numId="2" w16cid:durableId="1491409612">
    <w:abstractNumId w:val="3"/>
  </w:num>
  <w:num w:numId="3" w16cid:durableId="1554660454">
    <w:abstractNumId w:val="1"/>
  </w:num>
  <w:num w:numId="4" w16cid:durableId="515702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F22"/>
    <w:rsid w:val="00015B77"/>
    <w:rsid w:val="00056CC3"/>
    <w:rsid w:val="000A2FB2"/>
    <w:rsid w:val="00223145"/>
    <w:rsid w:val="00240951"/>
    <w:rsid w:val="0035664E"/>
    <w:rsid w:val="00422381"/>
    <w:rsid w:val="00514F22"/>
    <w:rsid w:val="0057640D"/>
    <w:rsid w:val="006529B2"/>
    <w:rsid w:val="007766AC"/>
    <w:rsid w:val="007D1A61"/>
    <w:rsid w:val="00864322"/>
    <w:rsid w:val="008A3DE6"/>
    <w:rsid w:val="00BC42DB"/>
    <w:rsid w:val="00E255A9"/>
    <w:rsid w:val="00E51655"/>
    <w:rsid w:val="00F00335"/>
    <w:rsid w:val="00F87220"/>
    <w:rsid w:val="00FF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73F2"/>
  <w15:chartTrackingRefBased/>
  <w15:docId w15:val="{6C149E67-5D09-4B1B-8244-AC0BFAFFF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22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766A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66A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766AC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E255A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55A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55A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55A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55A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ertilt.com/hormona-luteinizante-o-lh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Isaac Navarro</cp:lastModifiedBy>
  <cp:revision>20</cp:revision>
  <dcterms:created xsi:type="dcterms:W3CDTF">2025-11-27T19:29:00Z</dcterms:created>
  <dcterms:modified xsi:type="dcterms:W3CDTF">2026-06-14T02:27:00Z</dcterms:modified>
</cp:coreProperties>
</file>