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DLaM Display" w:cs="ADLaM Display" w:eastAsia="ADLaM Display" w:hAnsi="ADLaM Display"/>
          <w:b w:val="1"/>
          <w:sz w:val="22"/>
          <w:szCs w:val="22"/>
        </w:rPr>
      </w:pPr>
      <w:r w:rsidDel="00000000" w:rsidR="00000000" w:rsidRPr="00000000">
        <w:rPr>
          <w:rFonts w:ascii="ADLaM Display" w:cs="ADLaM Display" w:eastAsia="ADLaM Display" w:hAnsi="ADLaM Display"/>
          <w:b w:val="1"/>
          <w:sz w:val="22"/>
          <w:szCs w:val="22"/>
          <w:rtl w:val="0"/>
        </w:rPr>
        <w:t xml:space="preserve">LISTA DE COTEJO para evaluar el nombre correcto de minerales óxidos, utilizando la nomenclatura tradicional, de Stock e IUPAC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DLaM Display" w:cs="ADLaM Display" w:eastAsia="ADLaM Display" w:hAnsi="ADLaM Display"/>
          <w:b w:val="1"/>
          <w:color w:val="0070c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152400</wp:posOffset>
                </wp:positionV>
                <wp:extent cx="5781040" cy="690880"/>
                <wp:effectExtent b="0" l="0" r="0" t="0"/>
                <wp:wrapNone/>
                <wp:docPr id="65805971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1830" y="3440910"/>
                          <a:ext cx="5768340" cy="67818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12700">
                          <a:solidFill>
                            <a:srgbClr val="082836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152400</wp:posOffset>
                </wp:positionV>
                <wp:extent cx="5781040" cy="690880"/>
                <wp:effectExtent b="0" l="0" r="0" t="0"/>
                <wp:wrapNone/>
                <wp:docPr id="65805971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040" cy="690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b w:val="1"/>
          <w:rtl w:val="0"/>
        </w:rPr>
        <w:t xml:space="preserve">Instrucciones de llenado.</w:t>
      </w:r>
      <w:r w:rsidDel="00000000" w:rsidR="00000000" w:rsidRPr="00000000">
        <w:rPr>
          <w:rtl w:val="0"/>
        </w:rPr>
        <w:t xml:space="preserve"> Marque con una “X” las casillas de “Sí” o “No” para evaluar el nombre de los minerales, de acuerdo con tres sistemas de nomenclatura. Asigne el puntaje obtenido por el alumnado.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DLaM Display" w:cs="ADLaM Display" w:eastAsia="ADLaM Display" w:hAnsi="ADLaM Display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2"/>
        <w:gridCol w:w="1753"/>
        <w:gridCol w:w="1711"/>
        <w:gridCol w:w="640"/>
        <w:gridCol w:w="597"/>
        <w:gridCol w:w="1715"/>
        <w:gridCol w:w="1900"/>
        <w:tblGridChange w:id="0">
          <w:tblGrid>
            <w:gridCol w:w="512"/>
            <w:gridCol w:w="1753"/>
            <w:gridCol w:w="1711"/>
            <w:gridCol w:w="640"/>
            <w:gridCol w:w="597"/>
            <w:gridCol w:w="1715"/>
            <w:gridCol w:w="1900"/>
          </w:tblGrid>
        </w:tblGridChange>
      </w:tblGrid>
      <w:tr>
        <w:trPr>
          <w:cantSplit w:val="0"/>
          <w:trHeight w:val="86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N°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Mineral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Nomenclatura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Sí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Puntaje máximo asignado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Puntaje obtenido por el alumnado</w:t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Cuarzo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Hematita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Corindón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Rutilo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Cuprita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Pirolusita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Tradicional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Stock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sz w:val="22"/>
                <w:szCs w:val="22"/>
                <w:rtl w:val="0"/>
              </w:rPr>
              <w:t xml:space="preserve">IUPAC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" w:hRule="atLeast"/>
          <w:tblHeader w:val="0"/>
        </w:trPr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right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DLaM Display" w:cs="ADLaM Display" w:eastAsia="ADLaM Display" w:hAnsi="ADLaM Display"/>
                <w:b w:val="1"/>
                <w:sz w:val="22"/>
                <w:szCs w:val="22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ADLaM Display" w:cs="ADLaM Display" w:eastAsia="ADLaM Display" w:hAnsi="ADLaM Display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ADLaM Display" w:cs="ADLaM Display" w:eastAsia="ADLaM Display" w:hAnsi="ADLaM Display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ADLaM Display" w:cs="ADLaM Display" w:eastAsia="ADLaM Display" w:hAnsi="ADLaM Display"/>
          <w:sz w:val="22"/>
          <w:szCs w:val="22"/>
        </w:rPr>
      </w:pPr>
      <w:r w:rsidDel="00000000" w:rsidR="00000000" w:rsidRPr="00000000">
        <w:rPr>
          <w:rFonts w:ascii="ADLaM Display" w:cs="ADLaM Display" w:eastAsia="ADLaM Display" w:hAnsi="ADLaM Display"/>
          <w:sz w:val="22"/>
          <w:szCs w:val="22"/>
          <w:rtl w:val="0"/>
        </w:rPr>
        <w:t xml:space="preserve">Observaciones adicionales:</w:t>
      </w:r>
    </w:p>
    <w:p w:rsidR="00000000" w:rsidDel="00000000" w:rsidP="00000000" w:rsidRDefault="00000000" w:rsidRPr="00000000" w14:paraId="00000093">
      <w:pPr>
        <w:jc w:val="both"/>
        <w:rPr>
          <w:rFonts w:ascii="ADLaM Display" w:cs="ADLaM Display" w:eastAsia="ADLaM Display" w:hAnsi="ADLaM Display"/>
          <w:sz w:val="22"/>
          <w:szCs w:val="22"/>
        </w:rPr>
      </w:pPr>
      <w:r w:rsidDel="00000000" w:rsidR="00000000" w:rsidRPr="00000000">
        <w:rPr>
          <w:rFonts w:ascii="ADLaM Display" w:cs="ADLaM Display" w:eastAsia="ADLaM Display" w:hAnsi="ADLaM Display"/>
          <w:sz w:val="22"/>
          <w:szCs w:val="22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b w:val="1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Instrumento de evaluación de apoyo al aprendizaje de Química III:</w:t>
      </w:r>
    </w:p>
    <w:p w:rsidR="00000000" w:rsidDel="00000000" w:rsidP="00000000" w:rsidRDefault="00000000" w:rsidRPr="00000000" w14:paraId="00000095">
      <w:pPr>
        <w:spacing w:after="0" w:line="240" w:lineRule="auto"/>
        <w:jc w:val="both"/>
        <w:rPr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A2. (C)</w:t>
      </w:r>
      <w:r w:rsidDel="00000000" w:rsidR="00000000" w:rsidRPr="00000000">
        <w:rPr>
          <w:sz w:val="16"/>
          <w:szCs w:val="16"/>
          <w:rtl w:val="0"/>
        </w:rPr>
        <w:t xml:space="preserve"> Clasifica a los minerales con base en su composición y utiliza constantemente la nomenclatura química (IUPAC, Stock y tradicional), en la escritura de nombres y fórmulas sencillas de algunos minerales. </w:t>
      </w:r>
      <w:r w:rsidDel="00000000" w:rsidR="00000000" w:rsidRPr="00000000">
        <w:rPr>
          <w:b w:val="1"/>
          <w:sz w:val="16"/>
          <w:szCs w:val="16"/>
          <w:rtl w:val="0"/>
        </w:rPr>
        <w:t xml:space="preserve">(N2)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5780"/>
        </w:tabs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ADLaM Display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704E99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704E99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704E99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704E99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704E99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704E99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04E9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04E9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04E9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04E9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04E9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04E9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04E9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04E99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04E9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04E99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04E9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04E99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704E99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704E9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704E99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704E9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04E9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04E99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04E99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04E99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04E9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04E99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04E99"/>
    <w:rPr>
      <w:b w:val="1"/>
      <w:bCs w:val="1"/>
      <w:smallCaps w:val="1"/>
      <w:color w:val="0f4761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704E9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3A24E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A24EB"/>
  </w:style>
  <w:style w:type="paragraph" w:styleId="Piedepgina">
    <w:name w:val="footer"/>
    <w:basedOn w:val="Normal"/>
    <w:link w:val="PiedepginaCar"/>
    <w:uiPriority w:val="99"/>
    <w:unhideWhenUsed w:val="1"/>
    <w:rsid w:val="003A24E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A24EB"/>
  </w:style>
  <w:style w:type="character" w:styleId="Hipervnculo">
    <w:name w:val="Hyperlink"/>
    <w:basedOn w:val="Fuentedeprrafopredeter"/>
    <w:uiPriority w:val="99"/>
    <w:unhideWhenUsed w:val="1"/>
    <w:rsid w:val="0009570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9570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ADLaMDisplay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Hv0oNkuFMQr6kGiUZS5/1roxQ==">CgMxLjA4AHIhMUtMZHV6cU5Sem8yRVY1cFprU1VkQVdVQ3RMazYybGFV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2024-08-07T19:39:00Z</dcterms:created>
  <dc:creator>Ibrahim Guillermo Castro Torres</dc:creator>
</cp:coreProperties>
</file>