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Bookman Old Style" w:cs="Bookman Old Style" w:eastAsia="Bookman Old Style" w:hAnsi="Bookman Old Style"/>
          <w:b w:val="1"/>
          <w:sz w:val="32"/>
          <w:szCs w:val="3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32"/>
          <w:szCs w:val="32"/>
          <w:rtl w:val="0"/>
        </w:rPr>
        <w:t xml:space="preserve">Colegio de Ciencias y Humanidades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6309944</wp:posOffset>
            </wp:positionH>
            <wp:positionV relativeFrom="paragraph">
              <wp:posOffset>-7618</wp:posOffset>
            </wp:positionV>
            <wp:extent cx="536575" cy="671195"/>
            <wp:effectExtent b="0" l="0" r="0" t="0"/>
            <wp:wrapNone/>
            <wp:docPr descr="Logotipo, Icono, nombre de la empresa&#10;&#10;Descripción generada automáticamente" id="1" name="image2.png"/>
            <a:graphic>
              <a:graphicData uri="http://schemas.openxmlformats.org/drawingml/2006/picture">
                <pic:pic>
                  <pic:nvPicPr>
                    <pic:cNvPr descr="Logotipo, Icono, nombre de la empresa&#10;&#10;Descripción generada automáticament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75" cy="6711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-6983</wp:posOffset>
            </wp:positionV>
            <wp:extent cx="595630" cy="671195"/>
            <wp:effectExtent b="0" l="0" r="0" t="0"/>
            <wp:wrapNone/>
            <wp:docPr descr="Logotipo&#10;&#10;Descripción generada automáticamente" id="2" name="image1.png"/>
            <a:graphic>
              <a:graphicData uri="http://schemas.openxmlformats.org/drawingml/2006/picture">
                <pic:pic>
                  <pic:nvPicPr>
                    <pic:cNvPr descr="Logotipo&#10;&#10;Descripción generada automáticament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630" cy="6711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bottom w:color="000000" w:space="1" w:sz="4" w:val="single"/>
        </w:pBdr>
        <w:spacing w:line="240" w:lineRule="auto"/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Taller de Cómputo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HOJA ELECTRÓNICA DE CÁLCULO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Práctica: Tipos de gráficos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left"/>
        <w:tblLayout w:type="fixed"/>
        <w:tblLook w:val="0000"/>
      </w:tblPr>
      <w:tblGrid>
        <w:gridCol w:w="1054"/>
        <w:gridCol w:w="4079"/>
        <w:gridCol w:w="839"/>
        <w:gridCol w:w="3024"/>
        <w:gridCol w:w="916"/>
        <w:gridCol w:w="888"/>
        <w:tblGridChange w:id="0">
          <w:tblGrid>
            <w:gridCol w:w="1054"/>
            <w:gridCol w:w="4079"/>
            <w:gridCol w:w="839"/>
            <w:gridCol w:w="3024"/>
            <w:gridCol w:w="916"/>
            <w:gridCol w:w="8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Tipos de gráficos.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Luego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 haber leído con atención las páginas web del aparato de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Tipos de gráficas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procede  a contestar las siguientes preguntas.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5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08"/>
        <w:gridCol w:w="6847"/>
        <w:tblGridChange w:id="0">
          <w:tblGrid>
            <w:gridCol w:w="3108"/>
            <w:gridCol w:w="68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4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TIPOS DE GRÁFICOS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4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240" w:hanging="36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Barras</w:t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4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240" w:hanging="36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Circular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4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240" w:hanging="36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Dispersión</w:t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4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240" w:hanging="36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Columnas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4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240" w:hanging="36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Línea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4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240" w:hanging="36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Área</w:t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4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240" w:hanging="36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Radial</w:t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4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240" w:hanging="36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Anillos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4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360" w:right="24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¿Qué gráficos permiten comparar las series de datos mediante la longitud representada?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360" w:right="24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¿Qué gráficos permiten comparar las series de datos mediante el ángulo representado?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Elaboración de gráficas de barras.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Apliquemos los conocimientos de las dos actividades anteriores para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aprender a elaborar los gráficos de barras y columnas para representar los datos y con ellas dar respuesta a las preguntas que los originan.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Descarga el </w:t>
      </w:r>
      <w:hyperlink r:id="rId9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Documento de trabajo - Tipos de gráficos</w:t>
        </w:r>
      </w:hyperlink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Abre el archivo.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Ubícate en la hoja </w:t>
      </w:r>
      <w:r w:rsidDel="00000000" w:rsidR="00000000" w:rsidRPr="00000000">
        <w:rPr>
          <w:rFonts w:ascii="Arial" w:cs="Arial" w:eastAsia="Arial" w:hAnsi="Arial"/>
          <w:rtl w:val="0"/>
        </w:rPr>
        <w:t xml:space="preserve">Gráfica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 barras, haz clic en la pestaña verde.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Sigue las instrucciones que están en las hojas de cálculo.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Una vez terminados los ejercicios, graba el documento presionando CTRL - G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Ubícate en la hoja </w:t>
      </w:r>
      <w:r w:rsidDel="00000000" w:rsidR="00000000" w:rsidRPr="00000000">
        <w:rPr>
          <w:rFonts w:ascii="Arial" w:cs="Arial" w:eastAsia="Arial" w:hAnsi="Arial"/>
          <w:rtl w:val="0"/>
        </w:rPr>
        <w:t xml:space="preserve">Gráfica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 columnas, haz clic en la pestaña verde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Una vez terminados los ejercicios, graba el documento presionando CTRL - G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cierres el documento </w:t>
      </w:r>
      <w:r w:rsidDel="00000000" w:rsidR="00000000" w:rsidRPr="00000000">
        <w:rPr>
          <w:rFonts w:ascii="Arial" w:cs="Arial" w:eastAsia="Arial" w:hAnsi="Arial"/>
          <w:rtl w:val="0"/>
        </w:rPr>
        <w:t xml:space="preserve">porque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seguiremos trabajando con sus actividades.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Ahora resolvamos la autoevaluación de los gráficos de barras, accede al siguiente enlace.</w:t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0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https://www.superprof.es/apuntes/escolar/matematicas/estadistica/descriptiva/ejercicios-interactivos-de-diagramas-de-barras-y-poligonos-de-frecuencias.html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Lee con atención y contesta</w:t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 terminar la autoevaluación captura una imagen de la pantalla inicial del ejercicio y pégala aquí debajo.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Regresa a la lección para continuar.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Elaboración de gráficas circulares.</w:t>
      </w:r>
    </w:p>
    <w:p w:rsidR="00000000" w:rsidDel="00000000" w:rsidP="00000000" w:rsidRDefault="00000000" w:rsidRPr="00000000" w14:paraId="00000045">
      <w:pPr>
        <w:spacing w:line="240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Pasemos a aplicar los conocimientos de las actividades anteriores para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aprender a elaborar los gráficos de barras y columnas para representar los datos y con ellas dar respuesta a las preguntas que los originan.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Ubícate en la hoja Grafica circular, haz clic en la pestaña morada.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Sigue las instrucciones que están en la hoja de cálculo.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Una vez terminados los ejercicios, graba el documento presionando CTRL - G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Ahora resolvamos la autoevaluación de los gráficos circulares, accede al siguiente enlace .</w:t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</w:rPr>
      </w:pPr>
      <w:hyperlink r:id="rId11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https://www.superprof.es/apuntes/escolar/matematicas/estadistica/descriptiva/ejercicios-interactivos-de-diagramas-de-sectores.html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Lee con atención y contesta</w:t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 terminar la autoevaluación captura una imagen de la pantalla inicial del ejercicio y pégala aquí debajo.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Cierra el documento.</w:t>
      </w:r>
    </w:p>
    <w:p w:rsidR="00000000" w:rsidDel="00000000" w:rsidP="00000000" w:rsidRDefault="00000000" w:rsidRPr="00000000" w14:paraId="0000005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Entrega el documento en la plataforma.</w:t>
      </w:r>
    </w:p>
    <w:p w:rsidR="00000000" w:rsidDel="00000000" w:rsidP="00000000" w:rsidRDefault="00000000" w:rsidRPr="00000000" w14:paraId="00000054">
      <w:pPr>
        <w:rPr>
          <w:color w:val="00000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Regresa a la lección para continuar.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ourier New"/>
  <w:font w:name="Bookman Old Style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sz w:val="24"/>
        <w:szCs w:val="24"/>
        <w:lang w:val="es-MX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superprof.es/apuntes/escolar/matematicas/estadistica/descriptiva/ejercicios-interactivos-de-diagramas-de-sectores.html" TargetMode="External"/><Relationship Id="rId10" Type="http://schemas.openxmlformats.org/officeDocument/2006/relationships/hyperlink" Target="https://www.superprof.es/apuntes/escolar/matematicas/estadistica/descriptiva/ejercicios-interactivos-de-diagramas-de-barras-y-poligonos-de-frecuencias.html" TargetMode="External"/><Relationship Id="rId9" Type="http://schemas.openxmlformats.org/officeDocument/2006/relationships/hyperlink" Target="https://docs.google.com/spreadsheets/d/1p7mER0AXfLIOnQO1AIPYLqs_TVHOMfKJ/edit?usp=drive_link&amp;ouid=110081980168077209209&amp;rtpof=true&amp;sd=true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T310S0LpA6DpUGuN0Lc0P5ckrA==">CgMxLjAyCGguZ2pkZ3hzMgloLjMwajB6bGwyCWguMWZvYjl0ZTgAciExX1hHZzVOc3RhMnFDNERfbTBLTzk2OHFVMnlFRGctXzM=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