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448F" w14:textId="77777777" w:rsidR="00F13347" w:rsidRPr="00D73527" w:rsidRDefault="00F13347" w:rsidP="00F13347">
      <w:pPr>
        <w:spacing w:after="0" w:line="240" w:lineRule="auto"/>
        <w:rPr>
          <w:rFonts w:ascii="Verdana" w:eastAsia="Arial" w:hAnsi="Verdana"/>
          <w:b/>
          <w:bCs/>
          <w:sz w:val="22"/>
          <w:lang w:val="es-MX"/>
        </w:rPr>
      </w:pPr>
      <w:bookmarkStart w:id="0" w:name="_Hlk189043230"/>
      <w:bookmarkStart w:id="1" w:name="_Hlk189583635"/>
      <w:r w:rsidRPr="00D73527">
        <w:rPr>
          <w:rFonts w:ascii="Verdana" w:eastAsia="Arial" w:hAnsi="Verdana"/>
          <w:b/>
          <w:bCs/>
          <w:sz w:val="22"/>
          <w:lang w:val="es-MX"/>
        </w:rPr>
        <w:t>Curso Alergia Alimentaria</w:t>
      </w:r>
    </w:p>
    <w:p w14:paraId="5CFA05FA" w14:textId="77777777" w:rsidR="00F13347" w:rsidRPr="00D73527" w:rsidRDefault="00F13347" w:rsidP="00F13347">
      <w:pPr>
        <w:spacing w:after="0" w:line="240" w:lineRule="auto"/>
        <w:rPr>
          <w:rFonts w:ascii="Verdana" w:eastAsia="Arial" w:hAnsi="Verdana"/>
          <w:b/>
          <w:bCs/>
          <w:sz w:val="22"/>
          <w:lang w:val="es-MX"/>
        </w:rPr>
      </w:pPr>
    </w:p>
    <w:p w14:paraId="7EC4348A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  <w:r w:rsidRPr="00D73527">
        <w:rPr>
          <w:rFonts w:ascii="Verdana" w:eastAsia="Arial" w:hAnsi="Verdana"/>
          <w:b/>
          <w:bCs/>
          <w:sz w:val="22"/>
          <w:lang w:val="es-MX"/>
        </w:rPr>
        <w:t xml:space="preserve">Unidad 4. </w:t>
      </w:r>
      <w:r w:rsidRPr="00D73527">
        <w:rPr>
          <w:rFonts w:ascii="Verdana" w:eastAsia="Verdana" w:hAnsi="Verdana" w:cs="Verdana"/>
          <w:b/>
          <w:bCs/>
          <w:sz w:val="22"/>
          <w:lang w:val="es-MX"/>
        </w:rPr>
        <w:t>Tratamiento de la Alergia Alimentaria</w:t>
      </w:r>
    </w:p>
    <w:p w14:paraId="4820817A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2213FC2A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73BD9EBD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4C7F9D70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56C7B75D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46D25748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0E6B3F99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43738D46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42FF9537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620C3033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08A210D6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4C6CA254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7E9C6061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502A70B5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0732B92F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3FF6E2FE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7D6EF679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24F275BF" w14:textId="77777777" w:rsidR="00F1334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5B04446F" w14:textId="77777777" w:rsidR="00D73527" w:rsidRDefault="00D7352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4DC24AEA" w14:textId="77777777" w:rsidR="00D73527" w:rsidRDefault="00D7352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31C0BEC3" w14:textId="77777777" w:rsidR="00D73527" w:rsidRDefault="00D7352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4A630AD1" w14:textId="77777777" w:rsidR="00D73527" w:rsidRDefault="00D7352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54A2D4CF" w14:textId="77777777" w:rsidR="00D73527" w:rsidRDefault="00D7352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05CADDB9" w14:textId="77777777" w:rsidR="00D73527" w:rsidRDefault="00D7352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52A8B17C" w14:textId="77777777" w:rsidR="00D73527" w:rsidRPr="00D73527" w:rsidRDefault="00D7352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049BE88C" w14:textId="7B1403DF" w:rsidR="00F13347" w:rsidRPr="00F57999" w:rsidRDefault="00F13347" w:rsidP="00F13347">
      <w:pPr>
        <w:pStyle w:val="Ttulo1"/>
        <w:spacing w:before="0" w:after="0" w:line="240" w:lineRule="auto"/>
        <w:rPr>
          <w:rFonts w:ascii="Verdana" w:hAnsi="Verdana"/>
          <w:b/>
          <w:bCs/>
          <w:color w:val="000000" w:themeColor="text1"/>
          <w:sz w:val="30"/>
          <w:szCs w:val="30"/>
          <w:lang w:eastAsia="es-MX"/>
        </w:rPr>
      </w:pPr>
      <w:r>
        <w:rPr>
          <w:rFonts w:ascii="Verdana" w:hAnsi="Verdana"/>
          <w:b/>
          <w:bCs/>
          <w:color w:val="000000" w:themeColor="text1"/>
          <w:sz w:val="30"/>
          <w:szCs w:val="30"/>
          <w:lang w:eastAsia="es-MX"/>
        </w:rPr>
        <w:t>Otros tratamientos</w:t>
      </w:r>
    </w:p>
    <w:p w14:paraId="6C34F343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46653837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p w14:paraId="2A0B86AF" w14:textId="77777777" w:rsidR="00F13347" w:rsidRPr="00D73527" w:rsidRDefault="00F13347" w:rsidP="00F13347">
      <w:pPr>
        <w:spacing w:after="0" w:line="240" w:lineRule="auto"/>
        <w:rPr>
          <w:rFonts w:ascii="Verdana" w:eastAsia="Verdana" w:hAnsi="Verdana" w:cs="Verdana"/>
          <w:b/>
          <w:bCs/>
          <w:sz w:val="22"/>
          <w:lang w:val="es-MX"/>
        </w:rPr>
      </w:pPr>
    </w:p>
    <w:bookmarkEnd w:id="0"/>
    <w:p w14:paraId="173AA924" w14:textId="77777777" w:rsidR="00F13347" w:rsidRPr="00D73527" w:rsidRDefault="00F13347" w:rsidP="00F13347">
      <w:pPr>
        <w:spacing w:after="0" w:line="240" w:lineRule="auto"/>
        <w:rPr>
          <w:rFonts w:ascii="Verdana" w:hAnsi="Verdana"/>
          <w:sz w:val="22"/>
          <w:lang w:val="es-MX"/>
        </w:rPr>
      </w:pPr>
      <w:r w:rsidRPr="00D73527">
        <w:rPr>
          <w:rFonts w:ascii="Verdana" w:hAnsi="Verdana"/>
          <w:sz w:val="22"/>
          <w:lang w:val="es-MX"/>
        </w:rPr>
        <w:t xml:space="preserve">Carlos </w:t>
      </w:r>
      <w:bookmarkStart w:id="2" w:name="_GoBack"/>
      <w:r w:rsidRPr="00D73527">
        <w:rPr>
          <w:rFonts w:ascii="Verdana" w:hAnsi="Verdana"/>
          <w:sz w:val="22"/>
          <w:lang w:val="es-MX"/>
        </w:rPr>
        <w:t>Macouzet</w:t>
      </w:r>
      <w:bookmarkEnd w:id="2"/>
      <w:r w:rsidRPr="00D73527">
        <w:rPr>
          <w:rFonts w:ascii="Verdana" w:hAnsi="Verdana"/>
          <w:sz w:val="22"/>
          <w:lang w:val="es-MX"/>
        </w:rPr>
        <w:t xml:space="preserve"> Sánchez</w:t>
      </w:r>
    </w:p>
    <w:p w14:paraId="40777B15" w14:textId="56830104" w:rsidR="00F13347" w:rsidRPr="00D73527" w:rsidRDefault="00F13347" w:rsidP="00F13347">
      <w:pPr>
        <w:spacing w:after="0" w:line="240" w:lineRule="auto"/>
        <w:rPr>
          <w:rFonts w:ascii="Verdana" w:hAnsi="Verdana"/>
          <w:b/>
          <w:bCs/>
          <w:sz w:val="22"/>
          <w:lang w:val="es-MX" w:eastAsia="es-MX"/>
        </w:rPr>
      </w:pPr>
      <w:r w:rsidRPr="00D73527">
        <w:rPr>
          <w:rFonts w:ascii="Verdana" w:hAnsi="Verdana"/>
          <w:sz w:val="22"/>
          <w:lang w:val="es-MX"/>
        </w:rPr>
        <w:t>Alejandra Macías W</w:t>
      </w:r>
      <w:r w:rsidR="00850578" w:rsidRPr="00D73527">
        <w:rPr>
          <w:rFonts w:ascii="Verdana" w:hAnsi="Verdana"/>
          <w:sz w:val="22"/>
          <w:lang w:val="es-MX"/>
        </w:rPr>
        <w:t>ein</w:t>
      </w:r>
      <w:r w:rsidRPr="00D73527">
        <w:rPr>
          <w:rFonts w:ascii="Verdana" w:hAnsi="Verdana"/>
          <w:sz w:val="22"/>
          <w:lang w:val="es-MX"/>
        </w:rPr>
        <w:t>man</w:t>
      </w:r>
      <w:r w:rsidR="00850578" w:rsidRPr="00D73527">
        <w:rPr>
          <w:rFonts w:ascii="Verdana" w:hAnsi="Verdana"/>
          <w:sz w:val="22"/>
          <w:lang w:val="es-MX" w:eastAsia="es-MX"/>
        </w:rPr>
        <w:t>n</w:t>
      </w:r>
    </w:p>
    <w:bookmarkEnd w:id="1"/>
    <w:p w14:paraId="029682C4" w14:textId="77777777" w:rsidR="00F13347" w:rsidRPr="00D73527" w:rsidRDefault="00F13347">
      <w:pPr>
        <w:rPr>
          <w:rFonts w:ascii="Verdana" w:hAnsi="Verdana"/>
          <w:b/>
          <w:bCs/>
          <w:sz w:val="22"/>
          <w:lang w:val="es-ES"/>
        </w:rPr>
      </w:pPr>
      <w:r w:rsidRPr="00D73527">
        <w:rPr>
          <w:rFonts w:ascii="Verdana" w:hAnsi="Verdana"/>
          <w:b/>
          <w:bCs/>
          <w:sz w:val="22"/>
          <w:lang w:val="es-ES"/>
        </w:rPr>
        <w:br w:type="page"/>
      </w:r>
    </w:p>
    <w:p w14:paraId="6F0EBC99" w14:textId="49E573C1" w:rsidR="00D4374B" w:rsidRPr="00A25EA2" w:rsidRDefault="00790A5A" w:rsidP="00DF4AEE">
      <w:pPr>
        <w:spacing w:after="0" w:line="240" w:lineRule="auto"/>
        <w:jc w:val="both"/>
        <w:rPr>
          <w:rFonts w:ascii="Verdana" w:hAnsi="Verdana"/>
          <w:b/>
          <w:bCs/>
          <w:strike/>
          <w:sz w:val="26"/>
          <w:szCs w:val="26"/>
          <w:lang w:val="es-ES"/>
        </w:rPr>
      </w:pPr>
      <w:r w:rsidRPr="00A25EA2">
        <w:rPr>
          <w:rFonts w:ascii="Verdana" w:hAnsi="Verdana"/>
          <w:b/>
          <w:bCs/>
          <w:sz w:val="26"/>
          <w:szCs w:val="26"/>
          <w:lang w:val="es-ES"/>
        </w:rPr>
        <w:lastRenderedPageBreak/>
        <w:t>Otros tratamientos</w:t>
      </w:r>
      <w:r w:rsidR="004F5248" w:rsidRPr="00A25EA2">
        <w:rPr>
          <w:rFonts w:ascii="Verdana" w:hAnsi="Verdana"/>
          <w:b/>
          <w:bCs/>
          <w:sz w:val="26"/>
          <w:szCs w:val="26"/>
          <w:lang w:val="es-ES"/>
        </w:rPr>
        <w:t xml:space="preserve"> </w:t>
      </w:r>
    </w:p>
    <w:p w14:paraId="7F7DB75F" w14:textId="77777777" w:rsidR="00790A5A" w:rsidRDefault="00790A5A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6D6CD10C" w14:textId="70FC6012" w:rsidR="004F5248" w:rsidRPr="00F13347" w:rsidRDefault="004F5248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F13347">
        <w:rPr>
          <w:rFonts w:ascii="Verdana" w:hAnsi="Verdana"/>
          <w:sz w:val="22"/>
          <w:lang w:val="es-ES"/>
        </w:rPr>
        <w:t xml:space="preserve">La alergia alimentaria representa un importante problema de salud caracterizado por una carga epidemiológica considerable, </w:t>
      </w:r>
      <w:r w:rsidR="00D73527">
        <w:rPr>
          <w:rFonts w:ascii="Verdana" w:hAnsi="Verdana"/>
          <w:sz w:val="22"/>
          <w:lang w:val="es-ES"/>
        </w:rPr>
        <w:t>la cual</w:t>
      </w:r>
      <w:r w:rsidRPr="00F13347">
        <w:rPr>
          <w:rFonts w:ascii="Verdana" w:hAnsi="Verdana"/>
          <w:sz w:val="22"/>
          <w:lang w:val="es-ES"/>
        </w:rPr>
        <w:t xml:space="preserve"> afecta hasta</w:t>
      </w:r>
      <w:r w:rsidR="00D73527">
        <w:rPr>
          <w:rFonts w:ascii="Verdana" w:hAnsi="Verdana"/>
          <w:sz w:val="22"/>
          <w:lang w:val="es-ES"/>
        </w:rPr>
        <w:t xml:space="preserve"> un</w:t>
      </w:r>
      <w:r w:rsidRPr="00F13347">
        <w:rPr>
          <w:rFonts w:ascii="Verdana" w:hAnsi="Verdana"/>
          <w:sz w:val="22"/>
          <w:lang w:val="es-ES"/>
        </w:rPr>
        <w:t xml:space="preserve"> 5</w:t>
      </w:r>
      <w:r w:rsidR="00D73527">
        <w:rPr>
          <w:rFonts w:ascii="Verdana" w:hAnsi="Verdana"/>
          <w:sz w:val="22"/>
          <w:lang w:val="es-ES"/>
        </w:rPr>
        <w:t xml:space="preserve"> </w:t>
      </w:r>
      <w:r w:rsidRPr="00F13347">
        <w:rPr>
          <w:rFonts w:ascii="Verdana" w:hAnsi="Verdana"/>
          <w:sz w:val="22"/>
          <w:lang w:val="es-ES"/>
        </w:rPr>
        <w:t>% de adultos y</w:t>
      </w:r>
      <w:r w:rsidR="00D73527">
        <w:rPr>
          <w:rFonts w:ascii="Verdana" w:hAnsi="Verdana"/>
          <w:sz w:val="22"/>
          <w:lang w:val="es-ES"/>
        </w:rPr>
        <w:t xml:space="preserve"> un</w:t>
      </w:r>
      <w:r w:rsidRPr="00F13347">
        <w:rPr>
          <w:rFonts w:ascii="Verdana" w:hAnsi="Verdana"/>
          <w:sz w:val="22"/>
          <w:lang w:val="es-ES"/>
        </w:rPr>
        <w:t xml:space="preserve"> 8</w:t>
      </w:r>
      <w:r w:rsidR="00D73527">
        <w:rPr>
          <w:rFonts w:ascii="Verdana" w:hAnsi="Verdana"/>
          <w:sz w:val="22"/>
          <w:lang w:val="es-ES"/>
        </w:rPr>
        <w:t xml:space="preserve"> </w:t>
      </w:r>
      <w:r w:rsidRPr="00F13347">
        <w:rPr>
          <w:rFonts w:ascii="Verdana" w:hAnsi="Verdana"/>
          <w:sz w:val="22"/>
          <w:lang w:val="es-ES"/>
        </w:rPr>
        <w:t>% de niños en el mundo occidental.</w:t>
      </w:r>
      <w:r w:rsidR="004E2D80">
        <w:rPr>
          <w:rFonts w:ascii="Verdana" w:hAnsi="Verdana"/>
          <w:sz w:val="22"/>
          <w:lang w:val="es-ES"/>
        </w:rPr>
        <w:t xml:space="preserve"> Por ello, di</w:t>
      </w:r>
      <w:r w:rsidRPr="00F13347">
        <w:rPr>
          <w:rFonts w:ascii="Verdana" w:hAnsi="Verdana"/>
          <w:sz w:val="22"/>
          <w:lang w:val="es-ES"/>
        </w:rPr>
        <w:t xml:space="preserve">versas líneas de tratamiento se han desarrollado a lo largo de los años. </w:t>
      </w:r>
    </w:p>
    <w:p w14:paraId="3F9211BA" w14:textId="77777777" w:rsidR="004F5248" w:rsidRPr="00F13347" w:rsidRDefault="004F5248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04A0E994" w14:textId="649191C5" w:rsidR="004F5248" w:rsidRDefault="004F5248" w:rsidP="00DF4AEE">
      <w:pPr>
        <w:spacing w:after="0" w:line="240" w:lineRule="auto"/>
        <w:jc w:val="both"/>
        <w:rPr>
          <w:rFonts w:ascii="Verdana" w:eastAsia="Times New Roman" w:hAnsi="Verdana"/>
          <w:b/>
          <w:bCs/>
          <w:sz w:val="22"/>
          <w:lang w:val="es-MX" w:eastAsia="es-MX"/>
        </w:rPr>
      </w:pPr>
      <w:r w:rsidRPr="00F13347">
        <w:rPr>
          <w:rFonts w:ascii="Verdana" w:eastAsia="Times New Roman" w:hAnsi="Verdana"/>
          <w:b/>
          <w:bCs/>
          <w:sz w:val="22"/>
          <w:lang w:val="es-MX" w:eastAsia="es-MX"/>
        </w:rPr>
        <w:t>Tratamiento farmacológico</w:t>
      </w:r>
    </w:p>
    <w:p w14:paraId="04DE4727" w14:textId="77777777" w:rsidR="00F13347" w:rsidRPr="00F13347" w:rsidRDefault="00F13347" w:rsidP="00DF4AEE">
      <w:pPr>
        <w:spacing w:after="0" w:line="240" w:lineRule="auto"/>
        <w:jc w:val="both"/>
        <w:rPr>
          <w:rFonts w:ascii="Verdana" w:eastAsia="Times New Roman" w:hAnsi="Verdana"/>
          <w:sz w:val="22"/>
          <w:lang w:val="es-MX" w:eastAsia="es-MX"/>
        </w:rPr>
      </w:pPr>
    </w:p>
    <w:p w14:paraId="2D0D2547" w14:textId="46A8EA22" w:rsidR="00B74226" w:rsidRDefault="004F5248" w:rsidP="00DF4AEE">
      <w:pPr>
        <w:spacing w:after="0" w:line="240" w:lineRule="auto"/>
        <w:jc w:val="both"/>
        <w:rPr>
          <w:rFonts w:ascii="Verdana" w:eastAsia="Times New Roman" w:hAnsi="Verdana"/>
          <w:sz w:val="22"/>
          <w:lang w:val="es-MX" w:eastAsia="es-MX"/>
        </w:rPr>
      </w:pPr>
      <w:r w:rsidRPr="00F13347">
        <w:rPr>
          <w:rFonts w:ascii="Verdana" w:eastAsia="Times New Roman" w:hAnsi="Verdana"/>
          <w:sz w:val="22"/>
          <w:lang w:val="es-MX" w:eastAsia="es-MX"/>
        </w:rPr>
        <w:t xml:space="preserve">Cuando se </w:t>
      </w:r>
      <w:r w:rsidRPr="00D73527">
        <w:rPr>
          <w:rFonts w:ascii="Verdana" w:eastAsia="Times New Roman" w:hAnsi="Verdana"/>
          <w:sz w:val="22"/>
          <w:lang w:val="es-MX" w:eastAsia="es-MX"/>
        </w:rPr>
        <w:t xml:space="preserve">presentan </w:t>
      </w:r>
      <w:r w:rsidRPr="00D73527">
        <w:rPr>
          <w:rFonts w:ascii="Verdana" w:eastAsia="Times New Roman" w:hAnsi="Verdana"/>
          <w:bCs/>
          <w:sz w:val="22"/>
          <w:lang w:val="es-MX" w:eastAsia="es-MX"/>
        </w:rPr>
        <w:t>reacciones cutáneas</w:t>
      </w:r>
      <w:r w:rsidRPr="00F13347">
        <w:rPr>
          <w:rFonts w:ascii="Verdana" w:eastAsia="Times New Roman" w:hAnsi="Verdana"/>
          <w:sz w:val="22"/>
          <w:lang w:val="es-MX" w:eastAsia="es-MX"/>
        </w:rPr>
        <w:t xml:space="preserve"> aisladas como urticaria, </w:t>
      </w:r>
      <w:r w:rsidR="0028739C">
        <w:rPr>
          <w:rFonts w:ascii="Verdana" w:eastAsia="Times New Roman" w:hAnsi="Verdana"/>
          <w:sz w:val="22"/>
          <w:lang w:val="es-MX" w:eastAsia="es-MX"/>
        </w:rPr>
        <w:t>s</w:t>
      </w:r>
      <w:r w:rsidR="00B74226" w:rsidRPr="00B74226">
        <w:rPr>
          <w:rFonts w:ascii="Verdana" w:eastAsia="Times New Roman" w:hAnsi="Verdana"/>
          <w:sz w:val="22"/>
          <w:lang w:val="es-MX" w:eastAsia="es-MX"/>
        </w:rPr>
        <w:t>e recomienda el uso de</w:t>
      </w:r>
      <w:r w:rsidR="00B74226">
        <w:rPr>
          <w:rFonts w:ascii="Verdana" w:eastAsia="Times New Roman" w:hAnsi="Verdana"/>
          <w:sz w:val="22"/>
          <w:lang w:val="es-MX" w:eastAsia="es-MX"/>
        </w:rPr>
        <w:t xml:space="preserve"> </w:t>
      </w:r>
      <w:r w:rsidR="00B74226" w:rsidRPr="00B74226">
        <w:rPr>
          <w:rFonts w:ascii="Verdana" w:eastAsia="Times New Roman" w:hAnsi="Verdana"/>
          <w:sz w:val="22"/>
          <w:lang w:val="es-MX" w:eastAsia="es-MX"/>
        </w:rPr>
        <w:t>antihistamínicos de segunda generación no sedantes</w:t>
      </w:r>
      <w:r w:rsidR="00DF4AEE">
        <w:rPr>
          <w:rFonts w:ascii="Verdana" w:eastAsia="Times New Roman" w:hAnsi="Verdana"/>
          <w:sz w:val="22"/>
          <w:lang w:val="es-MX" w:eastAsia="es-MX"/>
        </w:rPr>
        <w:t xml:space="preserve"> </w:t>
      </w:r>
      <w:r w:rsidR="00B74226" w:rsidRPr="00B74226">
        <w:rPr>
          <w:rFonts w:ascii="Verdana" w:eastAsia="Times New Roman" w:hAnsi="Verdana"/>
          <w:sz w:val="22"/>
          <w:lang w:val="es-MX" w:eastAsia="es-MX"/>
        </w:rPr>
        <w:t xml:space="preserve">a la dosis estándar. Si no se logra el control, la dosis puede incrementarse hasta </w:t>
      </w:r>
      <w:r w:rsidR="00D73527">
        <w:rPr>
          <w:rFonts w:ascii="Verdana" w:eastAsia="Times New Roman" w:hAnsi="Verdana"/>
          <w:sz w:val="22"/>
          <w:lang w:val="es-MX" w:eastAsia="es-MX"/>
        </w:rPr>
        <w:t>cuatro</w:t>
      </w:r>
      <w:r w:rsidR="00B74226" w:rsidRPr="00B74226">
        <w:rPr>
          <w:rFonts w:ascii="Verdana" w:eastAsia="Times New Roman" w:hAnsi="Verdana"/>
          <w:sz w:val="22"/>
          <w:lang w:val="es-MX" w:eastAsia="es-MX"/>
        </w:rPr>
        <w:t xml:space="preserve"> veces, pero no se recomienda combinar diferentes antihistamínicos. Es crucial evaluar el riesgo de anafilaxia</w:t>
      </w:r>
      <w:r w:rsidR="00850578">
        <w:rPr>
          <w:rFonts w:ascii="Verdana" w:eastAsia="Times New Roman" w:hAnsi="Verdana"/>
          <w:sz w:val="22"/>
          <w:lang w:val="es-MX" w:eastAsia="es-MX"/>
        </w:rPr>
        <w:t xml:space="preserve"> durante los cuadros de urticaria</w:t>
      </w:r>
      <w:r w:rsidR="00B74226" w:rsidRPr="00B74226">
        <w:rPr>
          <w:rFonts w:ascii="Verdana" w:eastAsia="Times New Roman" w:hAnsi="Verdana"/>
          <w:sz w:val="22"/>
          <w:lang w:val="es-MX" w:eastAsia="es-MX"/>
        </w:rPr>
        <w:t>, en cuyo caso la</w:t>
      </w:r>
      <w:r w:rsidR="00DF4AEE">
        <w:rPr>
          <w:rFonts w:ascii="Verdana" w:eastAsia="Times New Roman" w:hAnsi="Verdana"/>
          <w:sz w:val="22"/>
          <w:lang w:val="es-MX" w:eastAsia="es-MX"/>
        </w:rPr>
        <w:t xml:space="preserve"> </w:t>
      </w:r>
      <w:r w:rsidR="00B74226" w:rsidRPr="00B74226">
        <w:rPr>
          <w:rFonts w:ascii="Verdana" w:eastAsia="Times New Roman" w:hAnsi="Verdana"/>
          <w:sz w:val="22"/>
          <w:lang w:val="es-MX" w:eastAsia="es-MX"/>
        </w:rPr>
        <w:t>adrenalina</w:t>
      </w:r>
      <w:r w:rsidR="00DF4AEE">
        <w:rPr>
          <w:rFonts w:ascii="Verdana" w:eastAsia="Times New Roman" w:hAnsi="Verdana"/>
          <w:sz w:val="22"/>
          <w:lang w:val="es-MX" w:eastAsia="es-MX"/>
        </w:rPr>
        <w:t xml:space="preserve"> </w:t>
      </w:r>
      <w:r w:rsidR="00B74226" w:rsidRPr="00B74226">
        <w:rPr>
          <w:rFonts w:ascii="Verdana" w:eastAsia="Times New Roman" w:hAnsi="Verdana"/>
          <w:sz w:val="22"/>
          <w:lang w:val="es-MX" w:eastAsia="es-MX"/>
        </w:rPr>
        <w:t>es la prioridad.</w:t>
      </w:r>
    </w:p>
    <w:p w14:paraId="19AEC220" w14:textId="77777777" w:rsidR="00B74226" w:rsidRPr="00B74226" w:rsidRDefault="00B74226" w:rsidP="00DF4AEE">
      <w:pPr>
        <w:spacing w:after="0" w:line="240" w:lineRule="auto"/>
        <w:jc w:val="both"/>
        <w:rPr>
          <w:rFonts w:ascii="Verdana" w:eastAsia="Times New Roman" w:hAnsi="Verdana"/>
          <w:sz w:val="22"/>
          <w:lang w:val="es-MX" w:eastAsia="es-MX"/>
        </w:rPr>
      </w:pPr>
    </w:p>
    <w:p w14:paraId="128255B1" w14:textId="592AFC22" w:rsidR="00F13347" w:rsidRPr="00D73527" w:rsidRDefault="004F5248" w:rsidP="00DF4AEE">
      <w:pPr>
        <w:spacing w:after="0" w:line="240" w:lineRule="auto"/>
        <w:jc w:val="both"/>
        <w:rPr>
          <w:rFonts w:ascii="Verdana" w:eastAsia="Times New Roman" w:hAnsi="Verdana"/>
          <w:sz w:val="22"/>
          <w:lang w:val="es-MX" w:eastAsia="es-MX"/>
        </w:rPr>
      </w:pPr>
      <w:r w:rsidRPr="00D73527">
        <w:rPr>
          <w:rFonts w:ascii="Verdana" w:eastAsia="Times New Roman" w:hAnsi="Verdana"/>
          <w:sz w:val="22"/>
          <w:lang w:val="es-MX" w:eastAsia="es-MX"/>
        </w:rPr>
        <w:t xml:space="preserve">El manejo farmacológico de las </w:t>
      </w:r>
      <w:r w:rsidRPr="00D73527">
        <w:rPr>
          <w:rFonts w:ascii="Verdana" w:eastAsia="Times New Roman" w:hAnsi="Verdana"/>
          <w:bCs/>
          <w:sz w:val="22"/>
          <w:lang w:val="es-MX" w:eastAsia="es-MX"/>
        </w:rPr>
        <w:t>reacciones adversas de las</w:t>
      </w:r>
      <w:r w:rsidR="00D73527" w:rsidRPr="00D73527">
        <w:rPr>
          <w:rFonts w:ascii="Verdana" w:eastAsia="Times New Roman" w:hAnsi="Verdana"/>
          <w:bCs/>
          <w:sz w:val="22"/>
          <w:lang w:val="es-MX" w:eastAsia="es-MX"/>
        </w:rPr>
        <w:t xml:space="preserve"> </w:t>
      </w:r>
      <w:r w:rsidR="00D73527" w:rsidRPr="00DF4AEE">
        <w:rPr>
          <w:rFonts w:ascii="Verdana" w:eastAsia="Times New Roman" w:hAnsi="Verdana"/>
          <w:sz w:val="22"/>
          <w:lang w:val="es-MX" w:eastAsia="es-MX"/>
        </w:rPr>
        <w:t>proteínas de transferencia de lípidos —LTP, por sus siglas en inglés</w:t>
      </w:r>
      <w:r w:rsidR="00D73527" w:rsidRPr="00032570">
        <w:rPr>
          <w:rFonts w:ascii="Verdana" w:eastAsia="Times New Roman" w:hAnsi="Verdana"/>
          <w:sz w:val="22"/>
          <w:lang w:val="es-MX" w:eastAsia="es-MX"/>
        </w:rPr>
        <w:t xml:space="preserve">— </w:t>
      </w:r>
      <w:r w:rsidRPr="00D73527">
        <w:rPr>
          <w:rFonts w:ascii="Verdana" w:eastAsia="Times New Roman" w:hAnsi="Verdana"/>
          <w:sz w:val="22"/>
          <w:lang w:val="es-MX" w:eastAsia="es-MX"/>
        </w:rPr>
        <w:t xml:space="preserve">incluye adrenalina, antihistamínicos y esteroides. </w:t>
      </w:r>
      <w:r w:rsidR="00B74226" w:rsidRPr="00D73527">
        <w:rPr>
          <w:rFonts w:ascii="Verdana" w:eastAsia="Times New Roman" w:hAnsi="Verdana"/>
          <w:sz w:val="22"/>
          <w:lang w:val="es-MX" w:eastAsia="es-MX"/>
        </w:rPr>
        <w:t>En pacientes</w:t>
      </w:r>
      <w:r w:rsidR="00D73527">
        <w:rPr>
          <w:rFonts w:ascii="Verdana" w:eastAsia="Times New Roman" w:hAnsi="Verdana"/>
          <w:sz w:val="22"/>
          <w:lang w:val="es-MX" w:eastAsia="es-MX"/>
        </w:rPr>
        <w:t xml:space="preserve"> con antecedentes de anafilaxia</w:t>
      </w:r>
      <w:r w:rsidR="00DF4AEE">
        <w:rPr>
          <w:rFonts w:ascii="Verdana" w:eastAsia="Times New Roman" w:hAnsi="Verdana"/>
          <w:sz w:val="22"/>
          <w:lang w:val="es-MX" w:eastAsia="es-MX"/>
        </w:rPr>
        <w:t>,</w:t>
      </w:r>
      <w:r w:rsidR="00B74226" w:rsidRPr="00D73527">
        <w:rPr>
          <w:rFonts w:ascii="Verdana" w:eastAsia="Times New Roman" w:hAnsi="Verdana"/>
          <w:sz w:val="22"/>
          <w:lang w:val="es-MX" w:eastAsia="es-MX"/>
        </w:rPr>
        <w:t xml:space="preserve"> se debe prescribir adrenalina.</w:t>
      </w:r>
    </w:p>
    <w:p w14:paraId="0C516599" w14:textId="77777777" w:rsidR="00B74226" w:rsidRPr="00B74226" w:rsidRDefault="00B74226" w:rsidP="00DF4AEE">
      <w:pPr>
        <w:spacing w:after="0" w:line="240" w:lineRule="auto"/>
        <w:jc w:val="both"/>
        <w:rPr>
          <w:rFonts w:ascii="Verdana" w:eastAsia="Times New Roman" w:hAnsi="Verdana"/>
          <w:sz w:val="22"/>
          <w:lang w:val="es-MX" w:eastAsia="es-MX"/>
        </w:rPr>
      </w:pPr>
    </w:p>
    <w:p w14:paraId="722408AD" w14:textId="20DBB70C" w:rsidR="004F5248" w:rsidRDefault="00A56728" w:rsidP="00DF4AEE">
      <w:pPr>
        <w:spacing w:after="0" w:line="240" w:lineRule="auto"/>
        <w:jc w:val="both"/>
        <w:rPr>
          <w:rFonts w:ascii="Verdana" w:eastAsia="Times New Roman" w:hAnsi="Verdana"/>
          <w:sz w:val="22"/>
          <w:lang w:val="es-MX" w:eastAsia="es-MX"/>
        </w:rPr>
      </w:pPr>
      <w:r w:rsidRPr="00A56728">
        <w:rPr>
          <w:rFonts w:ascii="Verdana" w:eastAsia="Times New Roman" w:hAnsi="Verdana"/>
          <w:sz w:val="22"/>
          <w:lang w:val="es-MX" w:eastAsia="es-MX"/>
        </w:rPr>
        <w:t xml:space="preserve">Rojas y </w:t>
      </w:r>
      <w:r w:rsidRPr="00DF4AEE">
        <w:rPr>
          <w:rFonts w:ascii="Verdana" w:hAnsi="Verdana"/>
          <w:sz w:val="22"/>
          <w:lang w:val="es-MX"/>
        </w:rPr>
        <w:t>Crissinger</w:t>
      </w:r>
      <w:r w:rsidR="00D73527">
        <w:rPr>
          <w:rFonts w:ascii="Verdana" w:eastAsia="Times New Roman" w:hAnsi="Verdana"/>
          <w:sz w:val="22"/>
          <w:lang w:val="es-MX" w:eastAsia="es-MX"/>
        </w:rPr>
        <w:t xml:space="preserve"> (2020)</w:t>
      </w:r>
      <w:r w:rsidR="004F5248" w:rsidRPr="00F13347">
        <w:rPr>
          <w:rFonts w:ascii="Verdana" w:eastAsia="Times New Roman" w:hAnsi="Verdana"/>
          <w:sz w:val="22"/>
          <w:lang w:val="es-MX" w:eastAsia="es-MX"/>
        </w:rPr>
        <w:t xml:space="preserve"> reportaron que en un estudio retrospectivo de 65 pacientes con proctocolitis alérgica tratados con mesalanina</w:t>
      </w:r>
      <w:r w:rsidR="00D73527">
        <w:rPr>
          <w:rFonts w:ascii="Verdana" w:eastAsia="Times New Roman" w:hAnsi="Verdana"/>
          <w:sz w:val="22"/>
          <w:lang w:val="es-MX" w:eastAsia="es-MX"/>
        </w:rPr>
        <w:t xml:space="preserve"> se</w:t>
      </w:r>
      <w:r w:rsidR="004F5248" w:rsidRPr="00F13347">
        <w:rPr>
          <w:rFonts w:ascii="Verdana" w:eastAsia="Times New Roman" w:hAnsi="Verdana"/>
          <w:sz w:val="22"/>
          <w:lang w:val="es-MX" w:eastAsia="es-MX"/>
        </w:rPr>
        <w:t xml:space="preserve"> </w:t>
      </w:r>
      <w:r w:rsidR="00B74226">
        <w:rPr>
          <w:rFonts w:ascii="Verdana" w:eastAsia="Times New Roman" w:hAnsi="Verdana"/>
          <w:sz w:val="22"/>
          <w:lang w:val="es-MX" w:eastAsia="es-MX"/>
        </w:rPr>
        <w:t>redujo la</w:t>
      </w:r>
      <w:r w:rsidR="004F5248" w:rsidRPr="00F13347">
        <w:rPr>
          <w:rFonts w:ascii="Verdana" w:eastAsia="Times New Roman" w:hAnsi="Verdana"/>
          <w:sz w:val="22"/>
          <w:lang w:val="es-MX" w:eastAsia="es-MX"/>
        </w:rPr>
        <w:t xml:space="preserve"> hematoquecia al reintroducir la leche vaca. </w:t>
      </w:r>
    </w:p>
    <w:p w14:paraId="79E45435" w14:textId="711FD1D7" w:rsidR="00F13347" w:rsidRPr="00F13347" w:rsidRDefault="00032570" w:rsidP="00DF4AEE">
      <w:pPr>
        <w:spacing w:after="0" w:line="240" w:lineRule="auto"/>
        <w:jc w:val="both"/>
        <w:rPr>
          <w:rFonts w:ascii="Verdana" w:eastAsia="Times New Roman" w:hAnsi="Verdana"/>
          <w:sz w:val="22"/>
          <w:lang w:val="es-MX" w:eastAsia="es-MX"/>
        </w:rPr>
      </w:pPr>
      <w:r>
        <w:rPr>
          <w:rFonts w:ascii="Verdana" w:eastAsia="Times New Roman" w:hAnsi="Verdana"/>
          <w:sz w:val="22"/>
          <w:lang w:val="es-MX" w:eastAsia="es-MX"/>
        </w:rPr>
        <w:t>g</w:t>
      </w:r>
    </w:p>
    <w:p w14:paraId="51304762" w14:textId="6965472E" w:rsidR="00790A5A" w:rsidRDefault="004F5248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F13347">
        <w:rPr>
          <w:rFonts w:ascii="Verdana" w:eastAsia="Times New Roman" w:hAnsi="Verdana"/>
          <w:sz w:val="22"/>
          <w:lang w:val="es-MX" w:eastAsia="es-MX"/>
        </w:rPr>
        <w:t>El tratamiento farmacológico</w:t>
      </w:r>
      <w:r w:rsidR="004647FD">
        <w:rPr>
          <w:rFonts w:ascii="Verdana" w:eastAsia="Times New Roman" w:hAnsi="Verdana"/>
          <w:sz w:val="22"/>
          <w:lang w:val="es-MX" w:eastAsia="es-MX"/>
        </w:rPr>
        <w:t xml:space="preserve"> de la esofagitis eosinofílica —</w:t>
      </w:r>
      <w:r w:rsidRPr="00F13347">
        <w:rPr>
          <w:rFonts w:ascii="Verdana" w:eastAsia="Times New Roman" w:hAnsi="Verdana"/>
          <w:sz w:val="22"/>
          <w:lang w:val="es-MX" w:eastAsia="es-MX"/>
        </w:rPr>
        <w:t>E</w:t>
      </w:r>
      <w:r w:rsidR="0028739C">
        <w:rPr>
          <w:rFonts w:ascii="Verdana" w:eastAsia="Times New Roman" w:hAnsi="Verdana"/>
          <w:sz w:val="22"/>
          <w:lang w:val="es-MX" w:eastAsia="es-MX"/>
        </w:rPr>
        <w:t>o</w:t>
      </w:r>
      <w:r w:rsidRPr="00F13347">
        <w:rPr>
          <w:rFonts w:ascii="Verdana" w:eastAsia="Times New Roman" w:hAnsi="Verdana"/>
          <w:sz w:val="22"/>
          <w:lang w:val="es-MX" w:eastAsia="es-MX"/>
        </w:rPr>
        <w:t>E</w:t>
      </w:r>
      <w:r w:rsidR="005E60B6">
        <w:rPr>
          <w:rFonts w:ascii="Verdana" w:eastAsia="Times New Roman" w:hAnsi="Verdana"/>
          <w:sz w:val="22"/>
          <w:lang w:val="es-MX" w:eastAsia="es-MX"/>
        </w:rPr>
        <w:t>, por sus siglas en inglés</w:t>
      </w:r>
      <w:r w:rsidR="004647FD">
        <w:rPr>
          <w:rFonts w:ascii="Verdana" w:eastAsia="Times New Roman" w:hAnsi="Verdana"/>
          <w:sz w:val="22"/>
          <w:lang w:val="es-MX" w:eastAsia="es-MX"/>
        </w:rPr>
        <w:t>—</w:t>
      </w:r>
      <w:r w:rsidRPr="00F13347">
        <w:rPr>
          <w:rFonts w:ascii="Verdana" w:eastAsia="Times New Roman" w:hAnsi="Verdana"/>
          <w:sz w:val="22"/>
          <w:lang w:val="es-MX" w:eastAsia="es-MX"/>
        </w:rPr>
        <w:t xml:space="preserve"> incluye inhibidores de la bomba de protones (IBP). Según la evidencia disponible, las dosis recomendadas de IBP para inducir la remisión de la E</w:t>
      </w:r>
      <w:r w:rsidR="0028739C">
        <w:rPr>
          <w:rFonts w:ascii="Verdana" w:eastAsia="Times New Roman" w:hAnsi="Verdana"/>
          <w:sz w:val="22"/>
          <w:lang w:val="es-MX" w:eastAsia="es-MX"/>
        </w:rPr>
        <w:t>o</w:t>
      </w:r>
      <w:r w:rsidR="0032574C">
        <w:rPr>
          <w:rFonts w:ascii="Verdana" w:eastAsia="Times New Roman" w:hAnsi="Verdana"/>
          <w:sz w:val="22"/>
          <w:lang w:val="es-MX" w:eastAsia="es-MX"/>
        </w:rPr>
        <w:t>E en adultos son omeprazol 20-</w:t>
      </w:r>
      <w:r w:rsidRPr="00F13347">
        <w:rPr>
          <w:rFonts w:ascii="Verdana" w:eastAsia="Times New Roman" w:hAnsi="Verdana"/>
          <w:sz w:val="22"/>
          <w:lang w:val="es-MX" w:eastAsia="es-MX"/>
        </w:rPr>
        <w:t>40 mg</w:t>
      </w:r>
      <w:r w:rsidR="0032574C">
        <w:rPr>
          <w:rFonts w:ascii="Verdana" w:eastAsia="Times New Roman" w:hAnsi="Verdana"/>
          <w:sz w:val="22"/>
          <w:lang w:val="es-MX" w:eastAsia="es-MX"/>
        </w:rPr>
        <w:t xml:space="preserve"> dos veces al día, o equivalente, y en niños 1-</w:t>
      </w:r>
      <w:r w:rsidRPr="00F13347">
        <w:rPr>
          <w:rFonts w:ascii="Verdana" w:eastAsia="Times New Roman" w:hAnsi="Verdana"/>
          <w:sz w:val="22"/>
          <w:lang w:val="es-MX" w:eastAsia="es-MX"/>
        </w:rPr>
        <w:t>2 mg/kg de omeprazol al día</w:t>
      </w:r>
      <w:r w:rsidR="0032574C">
        <w:rPr>
          <w:rFonts w:ascii="Verdana" w:eastAsia="Times New Roman" w:hAnsi="Verdana"/>
          <w:sz w:val="22"/>
          <w:lang w:val="es-MX" w:eastAsia="es-MX"/>
        </w:rPr>
        <w:t>,</w:t>
      </w:r>
      <w:r w:rsidRPr="00F13347">
        <w:rPr>
          <w:rFonts w:ascii="Verdana" w:eastAsia="Times New Roman" w:hAnsi="Verdana"/>
          <w:sz w:val="22"/>
          <w:lang w:val="es-MX" w:eastAsia="es-MX"/>
        </w:rPr>
        <w:t xml:space="preserve"> o equivalente. </w:t>
      </w:r>
      <w:r w:rsidR="0028739C" w:rsidRPr="0028739C">
        <w:rPr>
          <w:rFonts w:ascii="Verdana" w:hAnsi="Verdana"/>
          <w:sz w:val="22"/>
          <w:lang w:val="es-MX"/>
        </w:rPr>
        <w:t>Los</w:t>
      </w:r>
      <w:r w:rsidR="00DF4AEE">
        <w:rPr>
          <w:rFonts w:ascii="Verdana" w:hAnsi="Verdana"/>
          <w:sz w:val="22"/>
          <w:lang w:val="es-MX"/>
        </w:rPr>
        <w:t xml:space="preserve"> </w:t>
      </w:r>
      <w:r w:rsidR="0028739C" w:rsidRPr="0028739C">
        <w:rPr>
          <w:rFonts w:ascii="Verdana" w:hAnsi="Verdana"/>
          <w:sz w:val="22"/>
          <w:lang w:val="es-MX"/>
        </w:rPr>
        <w:t>esteroides tópicos</w:t>
      </w:r>
      <w:r w:rsidR="00DF4AEE">
        <w:rPr>
          <w:rFonts w:ascii="Verdana" w:hAnsi="Verdana"/>
          <w:sz w:val="22"/>
          <w:lang w:val="es-MX"/>
        </w:rPr>
        <w:t xml:space="preserve"> </w:t>
      </w:r>
      <w:r w:rsidR="0028739C" w:rsidRPr="0028739C">
        <w:rPr>
          <w:rFonts w:ascii="Verdana" w:hAnsi="Verdana"/>
          <w:sz w:val="22"/>
          <w:lang w:val="es-MX"/>
        </w:rPr>
        <w:t>son efectivos para la inducción y mantenimiento de la remisión a mediano plazo, aunque faltan datos a largo plazo.</w:t>
      </w:r>
    </w:p>
    <w:p w14:paraId="21EBDE87" w14:textId="77777777" w:rsidR="0028739C" w:rsidRDefault="0028739C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</w:p>
    <w:p w14:paraId="4E80ABBE" w14:textId="6066F771" w:rsidR="00265D5C" w:rsidRPr="00DF4AEE" w:rsidRDefault="00265D5C" w:rsidP="00DF4AEE">
      <w:pPr>
        <w:spacing w:after="0" w:line="240" w:lineRule="auto"/>
        <w:jc w:val="center"/>
        <w:rPr>
          <w:rFonts w:ascii="Verdana" w:hAnsi="Verdana"/>
          <w:sz w:val="18"/>
          <w:szCs w:val="18"/>
          <w:lang w:val="es-MX"/>
        </w:rPr>
      </w:pPr>
      <w:r w:rsidRPr="00DF4AEE">
        <w:rPr>
          <w:rFonts w:ascii="Verdana" w:hAnsi="Verdana"/>
          <w:sz w:val="18"/>
          <w:szCs w:val="18"/>
          <w:highlight w:val="green"/>
          <w:lang w:val="es-MX"/>
        </w:rPr>
        <w:t>Colocar imagen antihistamínico_u4</w:t>
      </w:r>
    </w:p>
    <w:p w14:paraId="5FC3C969" w14:textId="6E04D38B" w:rsidR="00265D5C" w:rsidRPr="00DF4AEE" w:rsidRDefault="003F540E" w:rsidP="00DF4AEE">
      <w:pPr>
        <w:spacing w:after="0" w:line="240" w:lineRule="auto"/>
        <w:jc w:val="center"/>
        <w:rPr>
          <w:rFonts w:ascii="Verdana" w:eastAsia="Arial" w:hAnsi="Verdana"/>
          <w:color w:val="000000" w:themeColor="text1"/>
          <w:kern w:val="2"/>
          <w:sz w:val="18"/>
          <w:szCs w:val="18"/>
          <w:lang w:val="es-MX"/>
          <w14:ligatures w14:val="standardContextual"/>
        </w:rPr>
      </w:pPr>
      <w:r w:rsidRPr="00DF4AEE">
        <w:rPr>
          <w:rFonts w:ascii="Verdana" w:eastAsia="Arial" w:hAnsi="Verdana"/>
          <w:color w:val="000000" w:themeColor="text1"/>
          <w:kern w:val="2"/>
          <w:sz w:val="18"/>
          <w:szCs w:val="18"/>
          <w:lang w:val="es-MX"/>
          <w14:ligatures w14:val="standardContextual"/>
        </w:rPr>
        <w:t xml:space="preserve">Danilyuk, P. (2021). </w:t>
      </w:r>
      <w:r w:rsidRPr="00DF4AEE">
        <w:rPr>
          <w:rFonts w:ascii="Verdana" w:eastAsia="Arial" w:hAnsi="Verdana"/>
          <w:i/>
          <w:iCs/>
          <w:color w:val="000000" w:themeColor="text1"/>
          <w:kern w:val="2"/>
          <w:sz w:val="18"/>
          <w:szCs w:val="18"/>
          <w:lang w:val="es-MX"/>
          <w14:ligatures w14:val="standardContextual"/>
        </w:rPr>
        <w:t>Uso de antihistamínicos</w:t>
      </w:r>
      <w:r w:rsidRPr="00DF4AEE">
        <w:rPr>
          <w:rFonts w:ascii="Verdana" w:eastAsia="Arial" w:hAnsi="Verdana"/>
          <w:color w:val="000000" w:themeColor="text1"/>
          <w:kern w:val="2"/>
          <w:sz w:val="18"/>
          <w:szCs w:val="18"/>
          <w:lang w:val="es-MX"/>
          <w14:ligatures w14:val="standardContextual"/>
        </w:rPr>
        <w:t xml:space="preserve"> [fotografía]. Tomada de </w:t>
      </w:r>
      <w:hyperlink r:id="rId5" w:history="1">
        <w:r w:rsidRPr="00DF4AEE">
          <w:rPr>
            <w:rFonts w:ascii="Verdana" w:eastAsia="Arial" w:hAnsi="Verdana"/>
            <w:color w:val="000000" w:themeColor="text1"/>
            <w:kern w:val="2"/>
            <w:sz w:val="18"/>
            <w:szCs w:val="18"/>
            <w:lang w:val="es-MX"/>
            <w14:ligatures w14:val="standardContextual"/>
          </w:rPr>
          <w:t>https://www.pexels.com/es-es/foto/manos-beber-bebida-medicina-6753297/</w:t>
        </w:r>
      </w:hyperlink>
    </w:p>
    <w:p w14:paraId="211923C2" w14:textId="77777777" w:rsidR="003F540E" w:rsidRDefault="003F540E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</w:p>
    <w:p w14:paraId="4AED9558" w14:textId="1AF68268" w:rsidR="00495FDA" w:rsidRPr="00F13347" w:rsidRDefault="00495FDA" w:rsidP="00DF4AEE">
      <w:pPr>
        <w:spacing w:after="0" w:line="240" w:lineRule="auto"/>
        <w:jc w:val="both"/>
        <w:rPr>
          <w:rFonts w:ascii="Verdana" w:hAnsi="Verdana"/>
          <w:b/>
          <w:sz w:val="22"/>
          <w:lang w:val="es-ES"/>
        </w:rPr>
      </w:pPr>
      <w:r w:rsidRPr="00F13347">
        <w:rPr>
          <w:rFonts w:ascii="Verdana" w:hAnsi="Verdana"/>
          <w:b/>
          <w:sz w:val="22"/>
          <w:lang w:val="es-ES"/>
        </w:rPr>
        <w:t>Inmunoterapia</w:t>
      </w:r>
      <w:r w:rsidR="00D4374B" w:rsidRPr="00F13347">
        <w:rPr>
          <w:rFonts w:ascii="Verdana" w:hAnsi="Verdana"/>
          <w:b/>
          <w:sz w:val="22"/>
          <w:lang w:val="es-ES"/>
        </w:rPr>
        <w:t xml:space="preserve"> </w:t>
      </w:r>
      <w:r w:rsidR="00DF4AEE">
        <w:rPr>
          <w:rFonts w:ascii="Verdana" w:hAnsi="Verdana"/>
          <w:b/>
          <w:sz w:val="22"/>
          <w:lang w:val="es-ES"/>
        </w:rPr>
        <w:t>o</w:t>
      </w:r>
      <w:r w:rsidR="00D4374B" w:rsidRPr="00F13347">
        <w:rPr>
          <w:rFonts w:ascii="Verdana" w:hAnsi="Verdana"/>
          <w:b/>
          <w:sz w:val="22"/>
          <w:lang w:val="es-ES"/>
        </w:rPr>
        <w:t>ral</w:t>
      </w:r>
    </w:p>
    <w:p w14:paraId="69ACE35B" w14:textId="77777777" w:rsidR="00790A5A" w:rsidRPr="00F13347" w:rsidRDefault="00790A5A" w:rsidP="00DF4AEE">
      <w:pPr>
        <w:spacing w:after="0" w:line="240" w:lineRule="auto"/>
        <w:jc w:val="both"/>
        <w:rPr>
          <w:rFonts w:ascii="Verdana" w:hAnsi="Verdana"/>
          <w:b/>
          <w:sz w:val="22"/>
          <w:lang w:val="es-ES"/>
        </w:rPr>
      </w:pPr>
    </w:p>
    <w:p w14:paraId="0271B7AD" w14:textId="075FDBC4" w:rsidR="0028739C" w:rsidRPr="0028739C" w:rsidRDefault="0028739C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  <w:r w:rsidRPr="0028739C">
        <w:rPr>
          <w:rFonts w:ascii="Verdana" w:hAnsi="Verdana"/>
          <w:sz w:val="22"/>
          <w:lang w:val="es-MX"/>
        </w:rPr>
        <w:t>La</w:t>
      </w:r>
      <w:r w:rsidR="00F65D3B">
        <w:rPr>
          <w:rFonts w:ascii="Verdana" w:hAnsi="Verdana"/>
          <w:sz w:val="22"/>
          <w:lang w:val="es-MX"/>
        </w:rPr>
        <w:t xml:space="preserve"> </w:t>
      </w:r>
      <w:r w:rsidRPr="00B522AB">
        <w:rPr>
          <w:rFonts w:ascii="Verdana" w:hAnsi="Verdana"/>
          <w:bCs/>
          <w:sz w:val="22"/>
          <w:lang w:val="es-MX"/>
        </w:rPr>
        <w:t xml:space="preserve">inmunoterapia oral </w:t>
      </w:r>
      <w:r w:rsidR="004647FD">
        <w:rPr>
          <w:rFonts w:ascii="Verdana" w:hAnsi="Verdana"/>
          <w:sz w:val="22"/>
          <w:lang w:val="es-MX"/>
        </w:rPr>
        <w:t>—</w:t>
      </w:r>
      <w:r w:rsidR="005E60B6" w:rsidRPr="005E60B6">
        <w:rPr>
          <w:rFonts w:ascii="Verdana" w:hAnsi="Verdana"/>
          <w:sz w:val="22"/>
          <w:lang w:val="es-MX"/>
        </w:rPr>
        <w:t>OIT, por sus siglas en inglés</w:t>
      </w:r>
      <w:r w:rsidR="004647FD">
        <w:rPr>
          <w:rFonts w:ascii="Verdana" w:hAnsi="Verdana"/>
          <w:sz w:val="22"/>
          <w:lang w:val="es-MX"/>
        </w:rPr>
        <w:t>—</w:t>
      </w:r>
      <w:r w:rsidR="00303A5C">
        <w:rPr>
          <w:rFonts w:ascii="Verdana" w:hAnsi="Verdana"/>
          <w:sz w:val="22"/>
          <w:lang w:val="es-MX"/>
        </w:rPr>
        <w:t xml:space="preserve"> </w:t>
      </w:r>
      <w:r w:rsidRPr="0028739C">
        <w:rPr>
          <w:rFonts w:ascii="Verdana" w:hAnsi="Verdana"/>
          <w:sz w:val="22"/>
          <w:lang w:val="es-MX"/>
        </w:rPr>
        <w:t>consiste en administrar dosis crecientes de un alérgeno alimentario para aumentar el umbral de reacción en pacientes con alergias persistentes</w:t>
      </w:r>
      <w:r w:rsidR="00303A5C">
        <w:rPr>
          <w:rFonts w:ascii="Verdana" w:hAnsi="Verdana"/>
          <w:sz w:val="22"/>
          <w:lang w:val="es-MX"/>
        </w:rPr>
        <w:t>; s</w:t>
      </w:r>
      <w:r w:rsidRPr="0028739C">
        <w:rPr>
          <w:rFonts w:ascii="Verdana" w:hAnsi="Verdana"/>
          <w:sz w:val="22"/>
          <w:lang w:val="es-MX"/>
        </w:rPr>
        <w:t>in embargo, su capacidad para inducir tolerancia sostenida es limitada, especialmente si se interrumpe el tratamiento. Es más efectiva cuando se inicia a edades tempranas</w:t>
      </w:r>
      <w:r>
        <w:rPr>
          <w:rFonts w:ascii="Verdana" w:hAnsi="Verdana"/>
          <w:sz w:val="22"/>
          <w:lang w:val="es-MX"/>
        </w:rPr>
        <w:t xml:space="preserve">, como se ha evidenciado en niños alérgicos al </w:t>
      </w:r>
      <w:r w:rsidR="00B522AB">
        <w:rPr>
          <w:rFonts w:ascii="Verdana" w:hAnsi="Verdana"/>
          <w:sz w:val="22"/>
          <w:lang w:val="es-MX"/>
        </w:rPr>
        <w:t>cacahuate</w:t>
      </w:r>
      <w:r>
        <w:rPr>
          <w:rFonts w:ascii="Verdana" w:hAnsi="Verdana"/>
          <w:sz w:val="22"/>
          <w:lang w:val="es-MX"/>
        </w:rPr>
        <w:t>, o bien</w:t>
      </w:r>
      <w:r w:rsidR="00303A5C">
        <w:rPr>
          <w:rFonts w:ascii="Verdana" w:hAnsi="Verdana"/>
          <w:sz w:val="22"/>
          <w:lang w:val="es-MX"/>
        </w:rPr>
        <w:t>,</w:t>
      </w:r>
      <w:r>
        <w:rPr>
          <w:rFonts w:ascii="Verdana" w:hAnsi="Verdana"/>
          <w:sz w:val="22"/>
          <w:lang w:val="es-MX"/>
        </w:rPr>
        <w:t xml:space="preserve"> cuando se </w:t>
      </w:r>
      <w:r w:rsidRPr="0028739C">
        <w:rPr>
          <w:rFonts w:ascii="Verdana" w:hAnsi="Verdana"/>
          <w:sz w:val="22"/>
          <w:lang w:val="es-MX"/>
        </w:rPr>
        <w:t>mantiene por per</w:t>
      </w:r>
      <w:r w:rsidR="00303A5C">
        <w:rPr>
          <w:rFonts w:ascii="Verdana" w:hAnsi="Verdana"/>
          <w:sz w:val="22"/>
          <w:lang w:val="es-MX"/>
        </w:rPr>
        <w:t>i</w:t>
      </w:r>
      <w:r w:rsidRPr="0028739C">
        <w:rPr>
          <w:rFonts w:ascii="Verdana" w:hAnsi="Verdana"/>
          <w:sz w:val="22"/>
          <w:lang w:val="es-MX"/>
        </w:rPr>
        <w:t xml:space="preserve">odos prolongados, como se ha observado en </w:t>
      </w:r>
      <w:r>
        <w:rPr>
          <w:rFonts w:ascii="Verdana" w:hAnsi="Verdana"/>
          <w:sz w:val="22"/>
          <w:lang w:val="es-MX"/>
        </w:rPr>
        <w:t>pacientes alérgicos al huevo</w:t>
      </w:r>
      <w:r w:rsidRPr="0028739C">
        <w:rPr>
          <w:rFonts w:ascii="Verdana" w:hAnsi="Verdana"/>
          <w:sz w:val="22"/>
          <w:lang w:val="es-MX"/>
        </w:rPr>
        <w:t>.</w:t>
      </w:r>
    </w:p>
    <w:p w14:paraId="6CD5B25E" w14:textId="77777777" w:rsidR="0028739C" w:rsidRPr="0028739C" w:rsidRDefault="0028739C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</w:p>
    <w:p w14:paraId="381A7205" w14:textId="6D091FB8" w:rsidR="00495FDA" w:rsidRPr="00F13347" w:rsidRDefault="00495FDA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F13347">
        <w:rPr>
          <w:rFonts w:ascii="Verdana" w:hAnsi="Verdana"/>
          <w:sz w:val="22"/>
          <w:lang w:val="es-ES"/>
        </w:rPr>
        <w:t xml:space="preserve">Se han investigado diferentes vías de administración de alimentos para la inmunoterapia con alérgenos para la alergia alimentaria (FA-AIT): </w:t>
      </w:r>
      <w:r w:rsidRPr="0028739C">
        <w:rPr>
          <w:rFonts w:ascii="Verdana" w:hAnsi="Verdana"/>
          <w:b/>
          <w:bCs/>
          <w:sz w:val="22"/>
          <w:lang w:val="es-ES"/>
        </w:rPr>
        <w:t>oral</w:t>
      </w:r>
      <w:r w:rsidRPr="00F13347">
        <w:rPr>
          <w:rFonts w:ascii="Verdana" w:hAnsi="Verdana"/>
          <w:sz w:val="22"/>
          <w:lang w:val="es-ES"/>
        </w:rPr>
        <w:t xml:space="preserve">, </w:t>
      </w:r>
      <w:r w:rsidRPr="0028739C">
        <w:rPr>
          <w:rFonts w:ascii="Verdana" w:hAnsi="Verdana"/>
          <w:b/>
          <w:bCs/>
          <w:sz w:val="22"/>
          <w:lang w:val="es-ES"/>
        </w:rPr>
        <w:lastRenderedPageBreak/>
        <w:t>sublingual</w:t>
      </w:r>
      <w:r w:rsidRPr="00F13347">
        <w:rPr>
          <w:rFonts w:ascii="Verdana" w:hAnsi="Verdana"/>
          <w:sz w:val="22"/>
          <w:lang w:val="es-ES"/>
        </w:rPr>
        <w:t xml:space="preserve">, </w:t>
      </w:r>
      <w:r w:rsidRPr="0028739C">
        <w:rPr>
          <w:rFonts w:ascii="Verdana" w:hAnsi="Verdana"/>
          <w:b/>
          <w:bCs/>
          <w:sz w:val="22"/>
          <w:lang w:val="es-ES"/>
        </w:rPr>
        <w:t>epicutánea</w:t>
      </w:r>
      <w:r w:rsidRPr="00F13347">
        <w:rPr>
          <w:rFonts w:ascii="Verdana" w:hAnsi="Verdana"/>
          <w:sz w:val="22"/>
          <w:lang w:val="es-ES"/>
        </w:rPr>
        <w:t xml:space="preserve"> y </w:t>
      </w:r>
      <w:r w:rsidRPr="0028739C">
        <w:rPr>
          <w:rFonts w:ascii="Verdana" w:hAnsi="Verdana"/>
          <w:b/>
          <w:bCs/>
          <w:sz w:val="22"/>
          <w:lang w:val="es-ES"/>
        </w:rPr>
        <w:t>subcutánea</w:t>
      </w:r>
      <w:r w:rsidR="00815D98" w:rsidRPr="00F13347">
        <w:rPr>
          <w:rFonts w:ascii="Verdana" w:hAnsi="Verdana"/>
          <w:sz w:val="22"/>
          <w:lang w:val="es-ES"/>
        </w:rPr>
        <w:t xml:space="preserve">. </w:t>
      </w:r>
      <w:r w:rsidRPr="00F13347">
        <w:rPr>
          <w:rFonts w:ascii="Verdana" w:hAnsi="Verdana"/>
          <w:sz w:val="22"/>
          <w:lang w:val="es-ES"/>
        </w:rPr>
        <w:t>Actualmente, existe evidencia de que la inmunoterapia oral es</w:t>
      </w:r>
      <w:r w:rsidR="00A25DA9">
        <w:rPr>
          <w:rFonts w:ascii="Verdana" w:hAnsi="Verdana"/>
          <w:sz w:val="22"/>
          <w:lang w:val="es-ES"/>
        </w:rPr>
        <w:t xml:space="preserve"> más</w:t>
      </w:r>
      <w:r w:rsidRPr="00F13347">
        <w:rPr>
          <w:rFonts w:ascii="Verdana" w:hAnsi="Verdana"/>
          <w:sz w:val="22"/>
          <w:lang w:val="es-ES"/>
        </w:rPr>
        <w:t xml:space="preserve"> efectiva para el </w:t>
      </w:r>
      <w:r w:rsidR="001D24A6">
        <w:rPr>
          <w:rFonts w:ascii="Verdana" w:hAnsi="Verdana"/>
          <w:sz w:val="22"/>
          <w:lang w:val="es-ES"/>
        </w:rPr>
        <w:t>cacahuate</w:t>
      </w:r>
      <w:r w:rsidRPr="00F13347">
        <w:rPr>
          <w:rFonts w:ascii="Verdana" w:hAnsi="Verdana"/>
          <w:sz w:val="22"/>
          <w:lang w:val="es-ES"/>
        </w:rPr>
        <w:t>, la leche y el huevo</w:t>
      </w:r>
      <w:r w:rsidR="00A25DA9">
        <w:rPr>
          <w:rFonts w:ascii="Verdana" w:hAnsi="Verdana"/>
          <w:sz w:val="22"/>
          <w:lang w:val="es-ES"/>
        </w:rPr>
        <w:t xml:space="preserve"> y</w:t>
      </w:r>
      <w:r w:rsidR="0028739C">
        <w:rPr>
          <w:rFonts w:ascii="Verdana" w:hAnsi="Verdana"/>
          <w:sz w:val="22"/>
          <w:lang w:val="es-ES"/>
        </w:rPr>
        <w:t xml:space="preserve"> </w:t>
      </w:r>
      <w:r w:rsidR="004647FD">
        <w:rPr>
          <w:rFonts w:ascii="Verdana" w:hAnsi="Verdana"/>
          <w:sz w:val="22"/>
          <w:lang w:val="es-ES"/>
        </w:rPr>
        <w:t>la inmunoterapia epicutánea —</w:t>
      </w:r>
      <w:r w:rsidRPr="00F13347">
        <w:rPr>
          <w:rFonts w:ascii="Verdana" w:hAnsi="Verdana"/>
          <w:sz w:val="22"/>
          <w:lang w:val="es-ES"/>
        </w:rPr>
        <w:t>EPIT</w:t>
      </w:r>
      <w:r w:rsidR="003F540E">
        <w:rPr>
          <w:rFonts w:ascii="Verdana" w:hAnsi="Verdana"/>
          <w:sz w:val="22"/>
          <w:lang w:val="es-ES"/>
        </w:rPr>
        <w:t>, por sus siglas en inglés</w:t>
      </w:r>
      <w:r w:rsidR="004647FD">
        <w:rPr>
          <w:rFonts w:ascii="Verdana" w:hAnsi="Verdana"/>
          <w:sz w:val="22"/>
          <w:lang w:val="es-ES"/>
        </w:rPr>
        <w:t>—</w:t>
      </w:r>
      <w:r w:rsidRPr="00F13347">
        <w:rPr>
          <w:rFonts w:ascii="Verdana" w:hAnsi="Verdana"/>
          <w:sz w:val="22"/>
          <w:lang w:val="es-ES"/>
        </w:rPr>
        <w:t xml:space="preserve"> para el </w:t>
      </w:r>
      <w:r w:rsidR="00A25DA9">
        <w:rPr>
          <w:rFonts w:ascii="Verdana" w:hAnsi="Verdana"/>
          <w:sz w:val="22"/>
          <w:lang w:val="es-ES"/>
        </w:rPr>
        <w:t>cacahuate</w:t>
      </w:r>
      <w:r w:rsidR="005E60B6">
        <w:rPr>
          <w:rFonts w:ascii="Verdana" w:hAnsi="Verdana"/>
          <w:sz w:val="22"/>
          <w:lang w:val="es-ES"/>
        </w:rPr>
        <w:t>,</w:t>
      </w:r>
      <w:r w:rsidRPr="00F13347">
        <w:rPr>
          <w:rFonts w:ascii="Verdana" w:hAnsi="Verdana"/>
          <w:sz w:val="22"/>
          <w:lang w:val="es-ES"/>
        </w:rPr>
        <w:t xml:space="preserve"> en comparación c</w:t>
      </w:r>
      <w:r w:rsidR="004647FD">
        <w:rPr>
          <w:rFonts w:ascii="Verdana" w:hAnsi="Verdana"/>
          <w:sz w:val="22"/>
          <w:lang w:val="es-ES"/>
        </w:rPr>
        <w:t>on la inmunoterapia sublingual —</w:t>
      </w:r>
      <w:r w:rsidRPr="00F13347">
        <w:rPr>
          <w:rFonts w:ascii="Verdana" w:hAnsi="Verdana"/>
          <w:sz w:val="22"/>
          <w:lang w:val="es-ES"/>
        </w:rPr>
        <w:t>SLIT</w:t>
      </w:r>
      <w:r w:rsidR="003F540E">
        <w:rPr>
          <w:rFonts w:ascii="Verdana" w:hAnsi="Verdana"/>
          <w:sz w:val="22"/>
          <w:lang w:val="es-ES"/>
        </w:rPr>
        <w:t>, por sus siglas en inglés</w:t>
      </w:r>
      <w:r w:rsidR="004647FD">
        <w:rPr>
          <w:rFonts w:ascii="Verdana" w:hAnsi="Verdana"/>
          <w:sz w:val="22"/>
          <w:lang w:val="es-ES"/>
        </w:rPr>
        <w:t>—</w:t>
      </w:r>
      <w:r w:rsidRPr="00F13347">
        <w:rPr>
          <w:rFonts w:ascii="Verdana" w:hAnsi="Verdana"/>
          <w:sz w:val="22"/>
          <w:lang w:val="es-ES"/>
        </w:rPr>
        <w:t xml:space="preserve"> y</w:t>
      </w:r>
      <w:r w:rsidR="004647FD">
        <w:rPr>
          <w:rFonts w:ascii="Verdana" w:hAnsi="Verdana"/>
          <w:sz w:val="22"/>
          <w:lang w:val="es-ES"/>
        </w:rPr>
        <w:t xml:space="preserve"> la inmunoterapia subcutánea —</w:t>
      </w:r>
      <w:r w:rsidRPr="00F13347">
        <w:rPr>
          <w:rFonts w:ascii="Verdana" w:hAnsi="Verdana"/>
          <w:sz w:val="22"/>
          <w:lang w:val="es-ES"/>
        </w:rPr>
        <w:t>SCIT</w:t>
      </w:r>
      <w:r w:rsidR="003F540E">
        <w:rPr>
          <w:rFonts w:ascii="Verdana" w:hAnsi="Verdana"/>
          <w:sz w:val="22"/>
          <w:lang w:val="es-ES"/>
        </w:rPr>
        <w:t>, por sus siglas en inglés</w:t>
      </w:r>
      <w:r w:rsidR="004647FD">
        <w:rPr>
          <w:rFonts w:ascii="Verdana" w:hAnsi="Verdana"/>
          <w:sz w:val="22"/>
          <w:lang w:val="es-ES"/>
        </w:rPr>
        <w:t>—</w:t>
      </w:r>
      <w:r w:rsidRPr="00F13347">
        <w:rPr>
          <w:rFonts w:ascii="Verdana" w:hAnsi="Verdana"/>
          <w:sz w:val="22"/>
          <w:lang w:val="es-ES"/>
        </w:rPr>
        <w:t xml:space="preserve">; </w:t>
      </w:r>
      <w:r w:rsidR="00A56728">
        <w:rPr>
          <w:rFonts w:ascii="Verdana" w:hAnsi="Verdana"/>
          <w:sz w:val="22"/>
          <w:lang w:val="es-ES"/>
        </w:rPr>
        <w:t>no obstante</w:t>
      </w:r>
      <w:r w:rsidRPr="00F13347">
        <w:rPr>
          <w:rFonts w:ascii="Verdana" w:hAnsi="Verdana"/>
          <w:sz w:val="22"/>
          <w:lang w:val="es-ES"/>
        </w:rPr>
        <w:t xml:space="preserve">, se </w:t>
      </w:r>
      <w:r w:rsidR="005E60B6">
        <w:rPr>
          <w:rFonts w:ascii="Verdana" w:hAnsi="Verdana"/>
          <w:sz w:val="22"/>
          <w:lang w:val="es-ES"/>
        </w:rPr>
        <w:t>identifican con</w:t>
      </w:r>
      <w:r w:rsidRPr="00F13347">
        <w:rPr>
          <w:rFonts w:ascii="Verdana" w:hAnsi="Verdana"/>
          <w:sz w:val="22"/>
          <w:lang w:val="es-ES"/>
        </w:rPr>
        <w:t xml:space="preserve"> mayor frecuencia eventos adversos para la OIT en comparación con la EPIT.</w:t>
      </w:r>
    </w:p>
    <w:p w14:paraId="29956C7A" w14:textId="77777777" w:rsidR="00D4374B" w:rsidRPr="00F13347" w:rsidRDefault="00D4374B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7F81FE8E" w14:textId="77777777" w:rsidR="00F13347" w:rsidRDefault="00F13347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6D834F01" w14:textId="77777777" w:rsidR="00E726C2" w:rsidRDefault="00E726C2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E726C2">
        <w:rPr>
          <w:rFonts w:ascii="Verdana" w:hAnsi="Verdana"/>
          <w:sz w:val="22"/>
          <w:highlight w:val="green"/>
          <w:lang w:val="es-ES"/>
        </w:rPr>
        <w:t>Dar tratamiento a la tabla</w:t>
      </w:r>
    </w:p>
    <w:p w14:paraId="45C9E5D7" w14:textId="77777777" w:rsidR="00E726C2" w:rsidRPr="00F13347" w:rsidRDefault="00E726C2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060"/>
        <w:gridCol w:w="2306"/>
        <w:gridCol w:w="2306"/>
        <w:gridCol w:w="2161"/>
      </w:tblGrid>
      <w:tr w:rsidR="009070A2" w:rsidRPr="00A56728" w14:paraId="48B9FB8C" w14:textId="77777777" w:rsidTr="00F13347">
        <w:tc>
          <w:tcPr>
            <w:tcW w:w="2060" w:type="dxa"/>
          </w:tcPr>
          <w:p w14:paraId="7570CBDA" w14:textId="77777777" w:rsidR="009070A2" w:rsidRPr="00A56728" w:rsidRDefault="009070A2" w:rsidP="00DF4AEE">
            <w:pPr>
              <w:jc w:val="center"/>
              <w:rPr>
                <w:rFonts w:ascii="Verdana" w:hAnsi="Verdana"/>
                <w:b/>
                <w:sz w:val="22"/>
                <w:lang w:val="es-ES"/>
              </w:rPr>
            </w:pPr>
          </w:p>
        </w:tc>
        <w:tc>
          <w:tcPr>
            <w:tcW w:w="2306" w:type="dxa"/>
          </w:tcPr>
          <w:p w14:paraId="034950ED" w14:textId="77777777" w:rsidR="009070A2" w:rsidRPr="00A56728" w:rsidRDefault="009070A2" w:rsidP="00DF4AEE">
            <w:pPr>
              <w:jc w:val="center"/>
              <w:rPr>
                <w:rFonts w:ascii="Verdana" w:hAnsi="Verdana"/>
                <w:b/>
                <w:bCs/>
                <w:sz w:val="22"/>
                <w:lang w:val="es-ES"/>
              </w:rPr>
            </w:pPr>
            <w:r w:rsidRPr="00A56728">
              <w:rPr>
                <w:rFonts w:ascii="Verdana" w:hAnsi="Verdana"/>
                <w:b/>
                <w:bCs/>
                <w:sz w:val="22"/>
                <w:lang w:val="es-ES"/>
              </w:rPr>
              <w:t>Inmunoterapia epicutánea</w:t>
            </w:r>
          </w:p>
        </w:tc>
        <w:tc>
          <w:tcPr>
            <w:tcW w:w="2306" w:type="dxa"/>
          </w:tcPr>
          <w:p w14:paraId="2EB248C6" w14:textId="77777777" w:rsidR="009070A2" w:rsidRPr="00A56728" w:rsidRDefault="009070A2" w:rsidP="00DF4AEE">
            <w:pPr>
              <w:jc w:val="center"/>
              <w:rPr>
                <w:rFonts w:ascii="Verdana" w:hAnsi="Verdana"/>
                <w:b/>
                <w:bCs/>
                <w:sz w:val="22"/>
                <w:lang w:val="es-ES"/>
              </w:rPr>
            </w:pPr>
            <w:r w:rsidRPr="00A56728">
              <w:rPr>
                <w:rFonts w:ascii="Verdana" w:hAnsi="Verdana"/>
                <w:b/>
                <w:bCs/>
                <w:sz w:val="22"/>
                <w:lang w:val="es-ES"/>
              </w:rPr>
              <w:t>Inmunoterapia sublingual</w:t>
            </w:r>
          </w:p>
        </w:tc>
        <w:tc>
          <w:tcPr>
            <w:tcW w:w="2161" w:type="dxa"/>
          </w:tcPr>
          <w:p w14:paraId="089EA203" w14:textId="77777777" w:rsidR="009070A2" w:rsidRPr="00A56728" w:rsidRDefault="009070A2" w:rsidP="00DF4AEE">
            <w:pPr>
              <w:jc w:val="center"/>
              <w:rPr>
                <w:rFonts w:ascii="Verdana" w:hAnsi="Verdana"/>
                <w:b/>
                <w:bCs/>
                <w:sz w:val="22"/>
                <w:lang w:val="es-ES"/>
              </w:rPr>
            </w:pPr>
            <w:r w:rsidRPr="00A56728">
              <w:rPr>
                <w:rFonts w:ascii="Verdana" w:hAnsi="Verdana"/>
                <w:b/>
                <w:bCs/>
                <w:sz w:val="22"/>
                <w:lang w:val="es-ES"/>
              </w:rPr>
              <w:t>Inmunoterapia oral</w:t>
            </w:r>
          </w:p>
        </w:tc>
      </w:tr>
      <w:tr w:rsidR="009070A2" w:rsidRPr="00F13347" w14:paraId="0AC37484" w14:textId="77777777" w:rsidTr="005E60B6">
        <w:tc>
          <w:tcPr>
            <w:tcW w:w="2060" w:type="dxa"/>
            <w:shd w:val="clear" w:color="auto" w:fill="auto"/>
          </w:tcPr>
          <w:p w14:paraId="21F3F504" w14:textId="77777777" w:rsidR="009070A2" w:rsidRPr="00F13347" w:rsidRDefault="009070A2" w:rsidP="00DF4AEE">
            <w:pPr>
              <w:rPr>
                <w:rFonts w:ascii="Verdana" w:hAnsi="Verdana"/>
                <w:sz w:val="22"/>
                <w:lang w:val="es-ES"/>
              </w:rPr>
            </w:pPr>
            <w:r w:rsidRPr="00F13347">
              <w:rPr>
                <w:rFonts w:ascii="Verdana" w:hAnsi="Verdana"/>
                <w:sz w:val="22"/>
                <w:lang w:val="es-ES"/>
              </w:rPr>
              <w:t>Dosis de alérgeno</w:t>
            </w:r>
          </w:p>
        </w:tc>
        <w:tc>
          <w:tcPr>
            <w:tcW w:w="2306" w:type="dxa"/>
          </w:tcPr>
          <w:p w14:paraId="270B550D" w14:textId="77777777" w:rsidR="009070A2" w:rsidRPr="00A25DA9" w:rsidRDefault="009070A2" w:rsidP="00DF4AEE">
            <w:pPr>
              <w:rPr>
                <w:rFonts w:ascii="Verdana" w:hAnsi="Verdana"/>
                <w:bCs/>
                <w:iCs/>
                <w:sz w:val="22"/>
                <w:lang w:val="es-ES"/>
              </w:rPr>
            </w:pPr>
            <w:r w:rsidRPr="00A25DA9">
              <w:rPr>
                <w:rFonts w:ascii="Verdana" w:hAnsi="Verdana"/>
                <w:bCs/>
                <w:iCs/>
                <w:sz w:val="22"/>
                <w:lang w:val="es-ES"/>
              </w:rPr>
              <w:t>Dosis mínimas</w:t>
            </w:r>
          </w:p>
        </w:tc>
        <w:tc>
          <w:tcPr>
            <w:tcW w:w="2306" w:type="dxa"/>
          </w:tcPr>
          <w:p w14:paraId="78CA88D8" w14:textId="77777777" w:rsidR="009070A2" w:rsidRPr="00A25DA9" w:rsidRDefault="009070A2" w:rsidP="00DF4AEE">
            <w:pPr>
              <w:rPr>
                <w:rFonts w:ascii="Verdana" w:hAnsi="Verdana"/>
                <w:bCs/>
                <w:iCs/>
                <w:sz w:val="22"/>
                <w:lang w:val="es-ES"/>
              </w:rPr>
            </w:pPr>
            <w:r w:rsidRPr="00A25DA9">
              <w:rPr>
                <w:rFonts w:ascii="Verdana" w:hAnsi="Verdana"/>
                <w:bCs/>
                <w:iCs/>
                <w:sz w:val="22"/>
                <w:lang w:val="es-ES"/>
              </w:rPr>
              <w:t>Dosis media</w:t>
            </w:r>
          </w:p>
        </w:tc>
        <w:tc>
          <w:tcPr>
            <w:tcW w:w="2161" w:type="dxa"/>
          </w:tcPr>
          <w:p w14:paraId="0CF0BE5C" w14:textId="77777777" w:rsidR="009070A2" w:rsidRPr="00A25DA9" w:rsidRDefault="009070A2" w:rsidP="00DF4AEE">
            <w:pPr>
              <w:rPr>
                <w:rFonts w:ascii="Verdana" w:hAnsi="Verdana"/>
                <w:bCs/>
                <w:iCs/>
                <w:sz w:val="22"/>
                <w:lang w:val="es-ES"/>
              </w:rPr>
            </w:pPr>
            <w:r w:rsidRPr="00A25DA9">
              <w:rPr>
                <w:rFonts w:ascii="Verdana" w:hAnsi="Verdana"/>
                <w:bCs/>
                <w:iCs/>
                <w:sz w:val="22"/>
                <w:lang w:val="es-ES"/>
              </w:rPr>
              <w:t>Dosis alta</w:t>
            </w:r>
          </w:p>
        </w:tc>
      </w:tr>
      <w:tr w:rsidR="009070A2" w:rsidRPr="00F13347" w14:paraId="7A1EDDF8" w14:textId="77777777" w:rsidTr="00F13347">
        <w:tc>
          <w:tcPr>
            <w:tcW w:w="2060" w:type="dxa"/>
          </w:tcPr>
          <w:p w14:paraId="07599C10" w14:textId="77777777" w:rsidR="009070A2" w:rsidRPr="00F13347" w:rsidRDefault="009070A2" w:rsidP="00DF4AEE">
            <w:pPr>
              <w:rPr>
                <w:rFonts w:ascii="Verdana" w:hAnsi="Verdana"/>
                <w:sz w:val="22"/>
                <w:lang w:val="es-ES"/>
              </w:rPr>
            </w:pPr>
            <w:r w:rsidRPr="00F13347">
              <w:rPr>
                <w:rFonts w:ascii="Verdana" w:hAnsi="Verdana"/>
                <w:sz w:val="22"/>
                <w:lang w:val="es-ES"/>
              </w:rPr>
              <w:t>Efectividad</w:t>
            </w:r>
          </w:p>
        </w:tc>
        <w:tc>
          <w:tcPr>
            <w:tcW w:w="2306" w:type="dxa"/>
          </w:tcPr>
          <w:p w14:paraId="13C4B675" w14:textId="6AD3AEB4" w:rsidR="009070A2" w:rsidRPr="00A25DA9" w:rsidRDefault="009070A2" w:rsidP="00DF4AEE">
            <w:pPr>
              <w:rPr>
                <w:rFonts w:ascii="Verdana" w:hAnsi="Verdana"/>
                <w:bCs/>
                <w:iCs/>
                <w:sz w:val="22"/>
                <w:lang w:val="es-ES"/>
              </w:rPr>
            </w:pPr>
            <w:r w:rsidRPr="00A25DA9">
              <w:rPr>
                <w:rFonts w:ascii="Verdana" w:hAnsi="Verdana"/>
                <w:bCs/>
                <w:iCs/>
                <w:sz w:val="22"/>
                <w:lang w:val="es-ES"/>
              </w:rPr>
              <w:t>Baja/</w:t>
            </w:r>
            <w:r w:rsidR="00303A5C">
              <w:rPr>
                <w:rFonts w:ascii="Verdana" w:hAnsi="Verdana"/>
                <w:bCs/>
                <w:iCs/>
                <w:sz w:val="22"/>
                <w:lang w:val="es-ES"/>
              </w:rPr>
              <w:t>i</w:t>
            </w:r>
            <w:r w:rsidRPr="00A25DA9">
              <w:rPr>
                <w:rFonts w:ascii="Verdana" w:hAnsi="Verdana"/>
                <w:bCs/>
                <w:iCs/>
                <w:sz w:val="22"/>
                <w:lang w:val="es-ES"/>
              </w:rPr>
              <w:t>ntermedia</w:t>
            </w:r>
          </w:p>
        </w:tc>
        <w:tc>
          <w:tcPr>
            <w:tcW w:w="2306" w:type="dxa"/>
          </w:tcPr>
          <w:p w14:paraId="7C985328" w14:textId="5C916248" w:rsidR="009070A2" w:rsidRPr="00A25DA9" w:rsidRDefault="009070A2" w:rsidP="00DF4AEE">
            <w:pPr>
              <w:rPr>
                <w:rFonts w:ascii="Verdana" w:hAnsi="Verdana"/>
                <w:bCs/>
                <w:iCs/>
                <w:sz w:val="22"/>
                <w:lang w:val="es-ES"/>
              </w:rPr>
            </w:pPr>
            <w:r w:rsidRPr="00A25DA9">
              <w:rPr>
                <w:rFonts w:ascii="Verdana" w:hAnsi="Verdana"/>
                <w:bCs/>
                <w:iCs/>
                <w:sz w:val="22"/>
                <w:lang w:val="es-ES"/>
              </w:rPr>
              <w:t>Baja/</w:t>
            </w:r>
            <w:r w:rsidR="00303A5C">
              <w:rPr>
                <w:rFonts w:ascii="Verdana" w:hAnsi="Verdana"/>
                <w:bCs/>
                <w:iCs/>
                <w:sz w:val="22"/>
                <w:lang w:val="es-ES"/>
              </w:rPr>
              <w:t>i</w:t>
            </w:r>
            <w:r w:rsidRPr="00A25DA9">
              <w:rPr>
                <w:rFonts w:ascii="Verdana" w:hAnsi="Verdana"/>
                <w:bCs/>
                <w:iCs/>
                <w:sz w:val="22"/>
                <w:lang w:val="es-ES"/>
              </w:rPr>
              <w:t>ntermedia</w:t>
            </w:r>
          </w:p>
        </w:tc>
        <w:tc>
          <w:tcPr>
            <w:tcW w:w="2161" w:type="dxa"/>
          </w:tcPr>
          <w:p w14:paraId="7ABB2F9F" w14:textId="77777777" w:rsidR="009070A2" w:rsidRPr="00A25DA9" w:rsidRDefault="009070A2" w:rsidP="00DF4AEE">
            <w:pPr>
              <w:rPr>
                <w:rFonts w:ascii="Verdana" w:hAnsi="Verdana"/>
                <w:bCs/>
                <w:iCs/>
                <w:sz w:val="22"/>
                <w:lang w:val="es-ES"/>
              </w:rPr>
            </w:pPr>
            <w:r w:rsidRPr="00A25DA9">
              <w:rPr>
                <w:rFonts w:ascii="Verdana" w:hAnsi="Verdana"/>
                <w:bCs/>
                <w:iCs/>
                <w:sz w:val="22"/>
                <w:lang w:val="es-ES"/>
              </w:rPr>
              <w:t>Alta</w:t>
            </w:r>
          </w:p>
        </w:tc>
      </w:tr>
      <w:tr w:rsidR="009070A2" w:rsidRPr="00F13347" w14:paraId="6A7AB636" w14:textId="77777777" w:rsidTr="00F13347">
        <w:tc>
          <w:tcPr>
            <w:tcW w:w="2060" w:type="dxa"/>
          </w:tcPr>
          <w:p w14:paraId="0D367300" w14:textId="77777777" w:rsidR="009070A2" w:rsidRPr="00F13347" w:rsidRDefault="009070A2" w:rsidP="00DF4AEE">
            <w:pPr>
              <w:rPr>
                <w:rFonts w:ascii="Verdana" w:hAnsi="Verdana"/>
                <w:sz w:val="22"/>
                <w:lang w:val="es-ES"/>
              </w:rPr>
            </w:pPr>
            <w:r w:rsidRPr="00F13347">
              <w:rPr>
                <w:rFonts w:ascii="Verdana" w:hAnsi="Verdana"/>
                <w:sz w:val="22"/>
                <w:lang w:val="es-ES"/>
              </w:rPr>
              <w:t>Reacciones adversas</w:t>
            </w:r>
          </w:p>
        </w:tc>
        <w:tc>
          <w:tcPr>
            <w:tcW w:w="2306" w:type="dxa"/>
          </w:tcPr>
          <w:p w14:paraId="7CE67CDF" w14:textId="77777777" w:rsidR="009070A2" w:rsidRPr="00A25DA9" w:rsidRDefault="009070A2" w:rsidP="00DF4AEE">
            <w:pPr>
              <w:rPr>
                <w:rFonts w:ascii="Verdana" w:hAnsi="Verdana"/>
                <w:bCs/>
                <w:iCs/>
                <w:sz w:val="22"/>
                <w:lang w:val="es-ES"/>
              </w:rPr>
            </w:pPr>
            <w:r w:rsidRPr="00A25DA9">
              <w:rPr>
                <w:rFonts w:ascii="Verdana" w:hAnsi="Verdana"/>
                <w:bCs/>
                <w:iCs/>
                <w:sz w:val="22"/>
                <w:lang w:val="es-ES"/>
              </w:rPr>
              <w:t>Incidencia baja</w:t>
            </w:r>
          </w:p>
        </w:tc>
        <w:tc>
          <w:tcPr>
            <w:tcW w:w="2306" w:type="dxa"/>
          </w:tcPr>
          <w:p w14:paraId="315167DB" w14:textId="77777777" w:rsidR="009070A2" w:rsidRPr="00A25DA9" w:rsidRDefault="009070A2" w:rsidP="00DF4AEE">
            <w:pPr>
              <w:rPr>
                <w:rFonts w:ascii="Verdana" w:hAnsi="Verdana"/>
                <w:bCs/>
                <w:iCs/>
                <w:sz w:val="22"/>
                <w:lang w:val="es-ES"/>
              </w:rPr>
            </w:pPr>
            <w:r w:rsidRPr="00A25DA9">
              <w:rPr>
                <w:rFonts w:ascii="Verdana" w:hAnsi="Verdana"/>
                <w:bCs/>
                <w:iCs/>
                <w:sz w:val="22"/>
                <w:lang w:val="es-ES"/>
              </w:rPr>
              <w:t>Incidencia media</w:t>
            </w:r>
          </w:p>
        </w:tc>
        <w:tc>
          <w:tcPr>
            <w:tcW w:w="2161" w:type="dxa"/>
          </w:tcPr>
          <w:p w14:paraId="1B0A0551" w14:textId="77777777" w:rsidR="009070A2" w:rsidRPr="00A25DA9" w:rsidRDefault="009070A2" w:rsidP="00DF4AEE">
            <w:pPr>
              <w:rPr>
                <w:rFonts w:ascii="Verdana" w:hAnsi="Verdana"/>
                <w:bCs/>
                <w:iCs/>
                <w:sz w:val="22"/>
                <w:lang w:val="es-ES"/>
              </w:rPr>
            </w:pPr>
            <w:r w:rsidRPr="00A25DA9">
              <w:rPr>
                <w:rFonts w:ascii="Verdana" w:hAnsi="Verdana"/>
                <w:bCs/>
                <w:iCs/>
                <w:sz w:val="22"/>
                <w:lang w:val="es-ES"/>
              </w:rPr>
              <w:t>Incidencia alta</w:t>
            </w:r>
          </w:p>
        </w:tc>
      </w:tr>
    </w:tbl>
    <w:p w14:paraId="3F6819B6" w14:textId="77777777" w:rsidR="00303A5C" w:rsidRPr="00303A5C" w:rsidRDefault="00303A5C" w:rsidP="00303A5C">
      <w:pPr>
        <w:spacing w:after="0" w:line="240" w:lineRule="auto"/>
        <w:jc w:val="center"/>
        <w:rPr>
          <w:rFonts w:ascii="Verdana" w:hAnsi="Verdana"/>
          <w:bCs/>
          <w:sz w:val="18"/>
          <w:szCs w:val="18"/>
          <w:lang w:val="es-ES"/>
        </w:rPr>
      </w:pPr>
      <w:r w:rsidRPr="00303A5C">
        <w:rPr>
          <w:rFonts w:ascii="Verdana" w:hAnsi="Verdana"/>
          <w:bCs/>
          <w:sz w:val="18"/>
          <w:szCs w:val="18"/>
          <w:lang w:val="es-ES"/>
        </w:rPr>
        <w:t>Tabla 1. Cuadro comparativo de las vías de inmunoterapia en alergia alimentaria</w:t>
      </w:r>
    </w:p>
    <w:p w14:paraId="10EBC16C" w14:textId="77777777" w:rsidR="00303A5C" w:rsidRPr="00F13347" w:rsidRDefault="00303A5C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3D751534" w14:textId="08EEBABF" w:rsidR="00A22BC1" w:rsidRPr="00F13347" w:rsidRDefault="00A22BC1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F13347">
        <w:rPr>
          <w:rFonts w:ascii="Verdana" w:hAnsi="Verdana"/>
          <w:sz w:val="22"/>
          <w:lang w:val="es-ES"/>
        </w:rPr>
        <w:t xml:space="preserve">Teniendo en cuenta que muchos niños con alergia a la leche de vaca o al huevo de gallina desarrollan tolerancia de forma espontánea en la edad preescolar, es razonable proponer la OIT a </w:t>
      </w:r>
      <w:r w:rsidR="00E82B8A">
        <w:rPr>
          <w:rFonts w:ascii="Verdana" w:hAnsi="Verdana"/>
          <w:sz w:val="22"/>
          <w:lang w:val="es-ES"/>
        </w:rPr>
        <w:t xml:space="preserve">niñas o </w:t>
      </w:r>
      <w:r w:rsidRPr="00F13347">
        <w:rPr>
          <w:rFonts w:ascii="Verdana" w:hAnsi="Verdana"/>
          <w:sz w:val="22"/>
          <w:lang w:val="es-ES"/>
        </w:rPr>
        <w:t xml:space="preserve">niños de </w:t>
      </w:r>
      <w:r w:rsidR="00820119">
        <w:rPr>
          <w:rFonts w:ascii="Verdana" w:hAnsi="Verdana"/>
          <w:sz w:val="22"/>
          <w:lang w:val="es-ES"/>
        </w:rPr>
        <w:t>cuatro</w:t>
      </w:r>
      <w:r w:rsidRPr="00F13347">
        <w:rPr>
          <w:rFonts w:ascii="Verdana" w:hAnsi="Verdana"/>
          <w:sz w:val="22"/>
          <w:lang w:val="es-ES"/>
        </w:rPr>
        <w:t xml:space="preserve"> a </w:t>
      </w:r>
      <w:r w:rsidR="00820119">
        <w:rPr>
          <w:rFonts w:ascii="Verdana" w:hAnsi="Verdana"/>
          <w:sz w:val="22"/>
          <w:lang w:val="es-ES"/>
        </w:rPr>
        <w:t>cinco</w:t>
      </w:r>
      <w:r w:rsidRPr="00F13347">
        <w:rPr>
          <w:rFonts w:ascii="Verdana" w:hAnsi="Verdana"/>
          <w:sz w:val="22"/>
          <w:lang w:val="es-ES"/>
        </w:rPr>
        <w:t xml:space="preserve"> años.</w:t>
      </w:r>
    </w:p>
    <w:p w14:paraId="4C0D8B7B" w14:textId="77777777" w:rsidR="00790A5A" w:rsidRPr="00F13347" w:rsidRDefault="00790A5A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4FBB4BF3" w14:textId="68D2B301" w:rsidR="00663890" w:rsidRPr="00F13347" w:rsidRDefault="00D4374B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F13347">
        <w:rPr>
          <w:rFonts w:ascii="Verdana" w:hAnsi="Verdana"/>
          <w:sz w:val="22"/>
          <w:lang w:val="es-ES"/>
        </w:rPr>
        <w:t>L</w:t>
      </w:r>
      <w:r w:rsidR="00663890" w:rsidRPr="00F13347">
        <w:rPr>
          <w:rFonts w:ascii="Verdana" w:hAnsi="Verdana"/>
          <w:sz w:val="22"/>
          <w:lang w:val="es-ES"/>
        </w:rPr>
        <w:t xml:space="preserve">a </w:t>
      </w:r>
      <w:r w:rsidR="00820119">
        <w:rPr>
          <w:rFonts w:ascii="Verdana" w:hAnsi="Verdana"/>
          <w:sz w:val="22"/>
          <w:lang w:val="es-ES"/>
        </w:rPr>
        <w:t>OIT</w:t>
      </w:r>
      <w:r w:rsidR="00663890" w:rsidRPr="00F13347">
        <w:rPr>
          <w:rFonts w:ascii="Verdana" w:hAnsi="Verdana"/>
          <w:sz w:val="22"/>
          <w:lang w:val="es-ES"/>
        </w:rPr>
        <w:t xml:space="preserve"> alimentaria</w:t>
      </w:r>
      <w:r w:rsidR="00820119">
        <w:rPr>
          <w:rFonts w:ascii="Verdana" w:hAnsi="Verdana"/>
          <w:sz w:val="22"/>
          <w:lang w:val="es-ES"/>
        </w:rPr>
        <w:t xml:space="preserve"> tiene los siguientes beneficios:</w:t>
      </w:r>
    </w:p>
    <w:p w14:paraId="5D1D3AE5" w14:textId="77777777" w:rsidR="00E82B8A" w:rsidRDefault="00663890" w:rsidP="00DF4AE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E82B8A">
        <w:rPr>
          <w:rFonts w:ascii="Verdana" w:hAnsi="Verdana"/>
          <w:sz w:val="22"/>
          <w:lang w:val="es-ES"/>
        </w:rPr>
        <w:t xml:space="preserve">Muchas personas logran la </w:t>
      </w:r>
      <w:r w:rsidRPr="00E82B8A">
        <w:rPr>
          <w:rFonts w:ascii="Verdana" w:hAnsi="Verdana"/>
          <w:b/>
          <w:bCs/>
          <w:sz w:val="22"/>
          <w:lang w:val="es-ES"/>
        </w:rPr>
        <w:t>desensibilización</w:t>
      </w:r>
      <w:r w:rsidRPr="00E82B8A">
        <w:rPr>
          <w:rFonts w:ascii="Verdana" w:hAnsi="Verdana"/>
          <w:sz w:val="22"/>
          <w:lang w:val="es-ES"/>
        </w:rPr>
        <w:t xml:space="preserve">. Si se logra </w:t>
      </w:r>
      <w:r w:rsidR="005E60B6" w:rsidRPr="00E82B8A">
        <w:rPr>
          <w:rFonts w:ascii="Verdana" w:hAnsi="Verdana"/>
          <w:sz w:val="22"/>
          <w:lang w:val="es-ES"/>
        </w:rPr>
        <w:t>esto</w:t>
      </w:r>
      <w:r w:rsidRPr="00E82B8A">
        <w:rPr>
          <w:rFonts w:ascii="Verdana" w:hAnsi="Verdana"/>
          <w:sz w:val="22"/>
          <w:lang w:val="es-ES"/>
        </w:rPr>
        <w:t>, los beneficios se limitan a la protección contra el consumo de pequeñas cantidades del alérgeno alimentario.</w:t>
      </w:r>
    </w:p>
    <w:p w14:paraId="20B2B0A0" w14:textId="7D9F2361" w:rsidR="00663890" w:rsidRPr="00E82B8A" w:rsidRDefault="00663890" w:rsidP="00DF4AE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E82B8A">
        <w:rPr>
          <w:rFonts w:ascii="Verdana" w:hAnsi="Verdana"/>
          <w:sz w:val="22"/>
          <w:lang w:val="es-ES"/>
        </w:rPr>
        <w:t xml:space="preserve">Algunas personas logran una </w:t>
      </w:r>
      <w:r w:rsidRPr="00E82B8A">
        <w:rPr>
          <w:rFonts w:ascii="Verdana" w:hAnsi="Verdana"/>
          <w:b/>
          <w:bCs/>
          <w:sz w:val="22"/>
          <w:lang w:val="es-ES"/>
        </w:rPr>
        <w:t>insensibilidad sostenida</w:t>
      </w:r>
      <w:r w:rsidRPr="00E82B8A">
        <w:rPr>
          <w:rFonts w:ascii="Verdana" w:hAnsi="Verdana"/>
          <w:sz w:val="22"/>
          <w:lang w:val="es-ES"/>
        </w:rPr>
        <w:t xml:space="preserve">, lo que significa que pueden consumir una mayor cantidad de alérgeno alimentario de la que podían consumir antes de la OIT, sin </w:t>
      </w:r>
      <w:r w:rsidR="00820119" w:rsidRPr="00E82B8A">
        <w:rPr>
          <w:rFonts w:ascii="Verdana" w:hAnsi="Verdana"/>
          <w:sz w:val="22"/>
          <w:lang w:val="es-ES"/>
        </w:rPr>
        <w:t>presentar</w:t>
      </w:r>
      <w:r w:rsidRPr="00E82B8A">
        <w:rPr>
          <w:rFonts w:ascii="Verdana" w:hAnsi="Verdana"/>
          <w:sz w:val="22"/>
          <w:lang w:val="es-ES"/>
        </w:rPr>
        <w:t xml:space="preserve"> una reacción alérgica. </w:t>
      </w:r>
    </w:p>
    <w:p w14:paraId="60C98C72" w14:textId="77777777" w:rsidR="00790A5A" w:rsidRPr="00F13347" w:rsidRDefault="00790A5A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5C59D65D" w14:textId="75FF65E7" w:rsidR="00E82B8A" w:rsidRDefault="00663890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F13347">
        <w:rPr>
          <w:rFonts w:ascii="Verdana" w:hAnsi="Verdana"/>
          <w:sz w:val="22"/>
          <w:lang w:val="es-ES"/>
        </w:rPr>
        <w:t>Las</w:t>
      </w:r>
      <w:r w:rsidRPr="00F13347">
        <w:rPr>
          <w:rFonts w:ascii="Verdana" w:hAnsi="Verdana"/>
          <w:bCs/>
          <w:sz w:val="22"/>
          <w:lang w:val="es-ES"/>
        </w:rPr>
        <w:t xml:space="preserve"> preocupaciones</w:t>
      </w:r>
      <w:r w:rsidRPr="00F13347">
        <w:rPr>
          <w:rFonts w:ascii="Verdana" w:hAnsi="Verdana"/>
          <w:sz w:val="22"/>
          <w:lang w:val="es-ES"/>
        </w:rPr>
        <w:t xml:space="preserve"> de seguridad sobre la OIT alimentaria incluyen</w:t>
      </w:r>
      <w:r w:rsidR="00E82B8A">
        <w:rPr>
          <w:rFonts w:ascii="Verdana" w:hAnsi="Verdana"/>
          <w:sz w:val="22"/>
          <w:lang w:val="es-ES"/>
        </w:rPr>
        <w:t xml:space="preserve"> las siguientes</w:t>
      </w:r>
      <w:r w:rsidRPr="00F13347">
        <w:rPr>
          <w:rFonts w:ascii="Verdana" w:hAnsi="Verdana"/>
          <w:sz w:val="22"/>
          <w:lang w:val="es-ES"/>
        </w:rPr>
        <w:t>:</w:t>
      </w:r>
    </w:p>
    <w:p w14:paraId="50B49191" w14:textId="0574EC03" w:rsidR="00E82B8A" w:rsidRDefault="00663890" w:rsidP="00DF4AE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E82B8A">
        <w:rPr>
          <w:rFonts w:ascii="Verdana" w:hAnsi="Verdana"/>
          <w:sz w:val="22"/>
          <w:lang w:val="es-ES"/>
        </w:rPr>
        <w:t xml:space="preserve">Las personas que </w:t>
      </w:r>
      <w:r w:rsidR="00D16899" w:rsidRPr="00E82B8A">
        <w:rPr>
          <w:rFonts w:ascii="Verdana" w:hAnsi="Verdana"/>
          <w:sz w:val="22"/>
          <w:lang w:val="es-ES"/>
        </w:rPr>
        <w:t>toman esta terapia</w:t>
      </w:r>
      <w:r w:rsidRPr="00E82B8A">
        <w:rPr>
          <w:rFonts w:ascii="Verdana" w:hAnsi="Verdana"/>
          <w:sz w:val="22"/>
          <w:lang w:val="es-ES"/>
        </w:rPr>
        <w:t xml:space="preserve"> tienden a </w:t>
      </w:r>
      <w:r w:rsidR="00820119" w:rsidRPr="00E82B8A">
        <w:rPr>
          <w:rFonts w:ascii="Verdana" w:hAnsi="Verdana"/>
          <w:sz w:val="22"/>
          <w:lang w:val="es-ES"/>
        </w:rPr>
        <w:t>presentar</w:t>
      </w:r>
      <w:r w:rsidRPr="00E82B8A">
        <w:rPr>
          <w:rFonts w:ascii="Verdana" w:hAnsi="Verdana"/>
          <w:sz w:val="22"/>
          <w:lang w:val="es-ES"/>
        </w:rPr>
        <w:t xml:space="preserve"> más reacciones alérgicas</w:t>
      </w:r>
      <w:r w:rsidR="00D16899" w:rsidRPr="00E82B8A">
        <w:rPr>
          <w:rFonts w:ascii="Verdana" w:hAnsi="Verdana"/>
          <w:sz w:val="22"/>
          <w:lang w:val="es-ES"/>
        </w:rPr>
        <w:t>,</w:t>
      </w:r>
      <w:r w:rsidRPr="00E82B8A">
        <w:rPr>
          <w:rFonts w:ascii="Verdana" w:hAnsi="Verdana"/>
          <w:sz w:val="22"/>
          <w:lang w:val="es-ES"/>
        </w:rPr>
        <w:t xml:space="preserve"> en general</w:t>
      </w:r>
      <w:r w:rsidR="00D16899" w:rsidRPr="00E82B8A">
        <w:rPr>
          <w:rFonts w:ascii="Verdana" w:hAnsi="Verdana"/>
          <w:sz w:val="22"/>
          <w:lang w:val="es-ES"/>
        </w:rPr>
        <w:t>,</w:t>
      </w:r>
      <w:r w:rsidRPr="00E82B8A">
        <w:rPr>
          <w:rFonts w:ascii="Verdana" w:hAnsi="Verdana"/>
          <w:sz w:val="22"/>
          <w:lang w:val="es-ES"/>
        </w:rPr>
        <w:t xml:space="preserve"> que las que evitan su </w:t>
      </w:r>
      <w:r w:rsidR="004F3327" w:rsidRPr="00E82B8A">
        <w:rPr>
          <w:rFonts w:ascii="Verdana" w:hAnsi="Verdana"/>
          <w:sz w:val="22"/>
          <w:lang w:val="es-ES"/>
        </w:rPr>
        <w:t>alérgeno</w:t>
      </w:r>
      <w:r w:rsidR="00C02828">
        <w:rPr>
          <w:rFonts w:ascii="Verdana" w:hAnsi="Verdana"/>
          <w:sz w:val="22"/>
          <w:lang w:val="es-ES"/>
        </w:rPr>
        <w:t>.</w:t>
      </w:r>
    </w:p>
    <w:p w14:paraId="525CB5A0" w14:textId="77777777" w:rsidR="00E82B8A" w:rsidRDefault="00663890" w:rsidP="00DF4AE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E82B8A">
        <w:rPr>
          <w:rFonts w:ascii="Verdana" w:hAnsi="Verdana"/>
          <w:sz w:val="22"/>
          <w:lang w:val="es-ES"/>
        </w:rPr>
        <w:t xml:space="preserve">Las personas que </w:t>
      </w:r>
      <w:r w:rsidR="00D16899" w:rsidRPr="00E82B8A">
        <w:rPr>
          <w:rFonts w:ascii="Verdana" w:hAnsi="Verdana"/>
          <w:sz w:val="22"/>
          <w:lang w:val="es-ES"/>
        </w:rPr>
        <w:t>la reciben</w:t>
      </w:r>
      <w:r w:rsidRPr="00E82B8A">
        <w:rPr>
          <w:rFonts w:ascii="Verdana" w:hAnsi="Verdana"/>
          <w:sz w:val="22"/>
          <w:lang w:val="es-ES"/>
        </w:rPr>
        <w:t xml:space="preserve"> pueden tener reacciones alérgicas debido a la exposición accidental a alérgenos alimentarios.</w:t>
      </w:r>
    </w:p>
    <w:p w14:paraId="7E4F1286" w14:textId="718EF0E0" w:rsidR="00E82B8A" w:rsidRPr="00E82B8A" w:rsidRDefault="00D16899" w:rsidP="00DF4AE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E82B8A">
        <w:rPr>
          <w:rFonts w:ascii="Verdana" w:hAnsi="Verdana"/>
          <w:sz w:val="22"/>
          <w:lang w:val="es-ES"/>
        </w:rPr>
        <w:t>Esta terapia</w:t>
      </w:r>
      <w:r w:rsidR="00663890" w:rsidRPr="00E82B8A">
        <w:rPr>
          <w:rFonts w:ascii="Verdana" w:hAnsi="Verdana"/>
          <w:color w:val="000000" w:themeColor="text1"/>
          <w:sz w:val="22"/>
          <w:lang w:val="es-ES"/>
        </w:rPr>
        <w:t xml:space="preserve"> puede empeorar la esofagitis eosinofílica, o </w:t>
      </w:r>
      <w:r w:rsidR="005E60B6" w:rsidRPr="00E82B8A">
        <w:rPr>
          <w:rFonts w:ascii="Verdana" w:hAnsi="Verdana"/>
          <w:color w:val="000000" w:themeColor="text1"/>
          <w:sz w:val="22"/>
          <w:lang w:val="es-ES"/>
        </w:rPr>
        <w:t>bien</w:t>
      </w:r>
      <w:r w:rsidR="00C02828">
        <w:rPr>
          <w:rFonts w:ascii="Verdana" w:hAnsi="Verdana"/>
          <w:color w:val="000000" w:themeColor="text1"/>
          <w:sz w:val="22"/>
          <w:lang w:val="es-ES"/>
        </w:rPr>
        <w:t>,</w:t>
      </w:r>
      <w:r w:rsidR="005E60B6" w:rsidRPr="00E82B8A">
        <w:rPr>
          <w:rFonts w:ascii="Verdana" w:hAnsi="Verdana"/>
          <w:color w:val="000000" w:themeColor="text1"/>
          <w:sz w:val="22"/>
          <w:lang w:val="es-ES"/>
        </w:rPr>
        <w:t xml:space="preserve"> puede desarrollarse la enfermedad </w:t>
      </w:r>
      <w:r w:rsidR="00663890" w:rsidRPr="00E82B8A">
        <w:rPr>
          <w:rFonts w:ascii="Verdana" w:hAnsi="Verdana"/>
          <w:color w:val="000000" w:themeColor="text1"/>
          <w:sz w:val="22"/>
          <w:lang w:val="es-ES"/>
        </w:rPr>
        <w:t xml:space="preserve">en pacientes que no </w:t>
      </w:r>
      <w:r w:rsidR="00EB1122" w:rsidRPr="00E82B8A">
        <w:rPr>
          <w:rFonts w:ascii="Verdana" w:hAnsi="Verdana"/>
          <w:color w:val="000000" w:themeColor="text1"/>
          <w:sz w:val="22"/>
          <w:lang w:val="es-ES"/>
        </w:rPr>
        <w:t>la tenían a</w:t>
      </w:r>
      <w:r w:rsidR="00663890" w:rsidRPr="00E82B8A">
        <w:rPr>
          <w:rFonts w:ascii="Verdana" w:hAnsi="Verdana"/>
          <w:color w:val="000000" w:themeColor="text1"/>
          <w:sz w:val="22"/>
          <w:lang w:val="es-ES"/>
        </w:rPr>
        <w:t>ntes de la OIT alimentaria.</w:t>
      </w:r>
    </w:p>
    <w:p w14:paraId="70A305D3" w14:textId="77777777" w:rsidR="00E82B8A" w:rsidRDefault="00663890" w:rsidP="00DF4AE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E82B8A">
        <w:rPr>
          <w:rFonts w:ascii="Verdana" w:hAnsi="Verdana"/>
          <w:color w:val="000000" w:themeColor="text1"/>
          <w:sz w:val="22"/>
          <w:lang w:val="es-ES"/>
        </w:rPr>
        <w:t>Hacer ejercicio despu</w:t>
      </w:r>
      <w:r w:rsidRPr="00E82B8A">
        <w:rPr>
          <w:rFonts w:ascii="Verdana" w:hAnsi="Verdana" w:cs="Verdana"/>
          <w:color w:val="000000" w:themeColor="text1"/>
          <w:sz w:val="22"/>
          <w:lang w:val="es-ES"/>
        </w:rPr>
        <w:t>é</w:t>
      </w:r>
      <w:r w:rsidRPr="00E82B8A">
        <w:rPr>
          <w:rFonts w:ascii="Verdana" w:hAnsi="Verdana"/>
          <w:color w:val="000000" w:themeColor="text1"/>
          <w:sz w:val="22"/>
          <w:lang w:val="es-ES"/>
        </w:rPr>
        <w:t xml:space="preserve">s </w:t>
      </w:r>
      <w:r w:rsidRPr="00E82B8A">
        <w:rPr>
          <w:rFonts w:ascii="Verdana" w:hAnsi="Verdana"/>
          <w:sz w:val="22"/>
          <w:lang w:val="es-ES"/>
        </w:rPr>
        <w:t>de una dosis de OIT puede aumentar el riesgo de reacciones al</w:t>
      </w:r>
      <w:r w:rsidRPr="00E82B8A">
        <w:rPr>
          <w:rFonts w:ascii="Verdana" w:hAnsi="Verdana" w:cs="Verdana"/>
          <w:sz w:val="22"/>
          <w:lang w:val="es-ES"/>
        </w:rPr>
        <w:t>é</w:t>
      </w:r>
      <w:r w:rsidR="004647FD" w:rsidRPr="00E82B8A">
        <w:rPr>
          <w:rFonts w:ascii="Verdana" w:hAnsi="Verdana"/>
          <w:sz w:val="22"/>
          <w:lang w:val="es-ES"/>
        </w:rPr>
        <w:t>rgicas —incluida la anafilaxia—</w:t>
      </w:r>
      <w:r w:rsidRPr="00E82B8A">
        <w:rPr>
          <w:rFonts w:ascii="Verdana" w:hAnsi="Verdana"/>
          <w:sz w:val="22"/>
          <w:lang w:val="es-ES"/>
        </w:rPr>
        <w:t xml:space="preserve">. </w:t>
      </w:r>
    </w:p>
    <w:p w14:paraId="1D39E4B0" w14:textId="4A927BC5" w:rsidR="004F3327" w:rsidRPr="00E82B8A" w:rsidRDefault="00663890" w:rsidP="00DF4AE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E82B8A">
        <w:rPr>
          <w:rFonts w:ascii="Verdana" w:hAnsi="Verdana"/>
          <w:sz w:val="22"/>
          <w:lang w:val="es-ES"/>
        </w:rPr>
        <w:t xml:space="preserve">Los cofactores como las infecciones, la menstruación, el </w:t>
      </w:r>
      <w:r w:rsidR="00EB1122" w:rsidRPr="00E82B8A">
        <w:rPr>
          <w:rFonts w:ascii="Verdana" w:hAnsi="Verdana"/>
          <w:sz w:val="22"/>
          <w:lang w:val="es-ES"/>
        </w:rPr>
        <w:t>asma mal controlada</w:t>
      </w:r>
      <w:r w:rsidRPr="00E82B8A">
        <w:rPr>
          <w:rFonts w:ascii="Verdana" w:hAnsi="Verdana"/>
          <w:sz w:val="22"/>
          <w:lang w:val="es-ES"/>
        </w:rPr>
        <w:t>, la rinitis alérgica y la falta de sueño también pueden aumentar el riesgo de reacciones alérgicas</w:t>
      </w:r>
      <w:r w:rsidR="004F3327" w:rsidRPr="00E82B8A">
        <w:rPr>
          <w:rFonts w:ascii="Verdana" w:hAnsi="Verdana"/>
          <w:sz w:val="22"/>
          <w:lang w:val="es-ES"/>
        </w:rPr>
        <w:t>.</w:t>
      </w:r>
    </w:p>
    <w:p w14:paraId="369C0FAE" w14:textId="77777777" w:rsidR="00790A5A" w:rsidRPr="00F13347" w:rsidRDefault="00790A5A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10338755" w14:textId="1AE799DA" w:rsidR="00A22BC1" w:rsidRPr="00F13347" w:rsidRDefault="00D16899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  <w:r>
        <w:rPr>
          <w:rFonts w:ascii="Verdana" w:hAnsi="Verdana"/>
          <w:sz w:val="22"/>
          <w:lang w:val="es-ES"/>
        </w:rPr>
        <w:lastRenderedPageBreak/>
        <w:t>En conclusión, l</w:t>
      </w:r>
      <w:r w:rsidR="004F3327" w:rsidRPr="00F13347">
        <w:rPr>
          <w:rFonts w:ascii="Verdana" w:hAnsi="Verdana"/>
          <w:sz w:val="22"/>
          <w:lang w:val="es-ES"/>
        </w:rPr>
        <w:t>os pacientes con alergia alimentaria deben ser tratados por un especialista en alergias. Para la mayoría de las personas con alergia alimentaria, se recomienda evitar los alér</w:t>
      </w:r>
      <w:r w:rsidR="00A22BC1" w:rsidRPr="00F13347">
        <w:rPr>
          <w:rFonts w:ascii="Verdana" w:hAnsi="Verdana"/>
          <w:sz w:val="22"/>
          <w:lang w:val="es-ES"/>
        </w:rPr>
        <w:t xml:space="preserve">genos alimentarios confirmados. </w:t>
      </w:r>
      <w:r w:rsidR="004F3327" w:rsidRPr="00F13347">
        <w:rPr>
          <w:rFonts w:ascii="Verdana" w:hAnsi="Verdana"/>
          <w:sz w:val="22"/>
          <w:lang w:val="es-ES"/>
        </w:rPr>
        <w:t xml:space="preserve">A todos los pacientes que reciben </w:t>
      </w:r>
      <w:r w:rsidR="00EB1122">
        <w:rPr>
          <w:rFonts w:ascii="Verdana" w:hAnsi="Verdana"/>
          <w:sz w:val="22"/>
          <w:lang w:val="es-ES"/>
        </w:rPr>
        <w:t>OIT</w:t>
      </w:r>
      <w:r w:rsidR="004647FD">
        <w:rPr>
          <w:rFonts w:ascii="Verdana" w:hAnsi="Verdana"/>
          <w:sz w:val="22"/>
          <w:lang w:val="es-ES"/>
        </w:rPr>
        <w:t xml:space="preserve"> alimentaria —</w:t>
      </w:r>
      <w:r w:rsidR="004F3327" w:rsidRPr="00F13347">
        <w:rPr>
          <w:rFonts w:ascii="Verdana" w:hAnsi="Verdana"/>
          <w:sz w:val="22"/>
          <w:lang w:val="es-ES"/>
        </w:rPr>
        <w:t xml:space="preserve">incluso como parte de un </w:t>
      </w:r>
      <w:r w:rsidR="004647FD">
        <w:rPr>
          <w:rFonts w:ascii="Verdana" w:hAnsi="Verdana"/>
          <w:sz w:val="22"/>
          <w:lang w:val="es-ES"/>
        </w:rPr>
        <w:t>ensayo de investigación clínica—</w:t>
      </w:r>
      <w:r w:rsidR="004F3327" w:rsidRPr="00F13347">
        <w:rPr>
          <w:rFonts w:ascii="Verdana" w:hAnsi="Verdana"/>
          <w:sz w:val="22"/>
          <w:lang w:val="es-ES"/>
        </w:rPr>
        <w:t xml:space="preserve"> se les debe informar sobre la mayor probab</w:t>
      </w:r>
      <w:r w:rsidR="004647FD">
        <w:rPr>
          <w:rFonts w:ascii="Verdana" w:hAnsi="Verdana"/>
          <w:sz w:val="22"/>
          <w:lang w:val="es-ES"/>
        </w:rPr>
        <w:t>ilidad de reacciones alérgicas —incluida la anafilaxia—</w:t>
      </w:r>
      <w:r>
        <w:rPr>
          <w:rFonts w:ascii="Verdana" w:hAnsi="Verdana"/>
          <w:sz w:val="22"/>
          <w:lang w:val="es-ES"/>
        </w:rPr>
        <w:t>,</w:t>
      </w:r>
      <w:r w:rsidR="004F3327" w:rsidRPr="00F13347">
        <w:rPr>
          <w:rFonts w:ascii="Verdana" w:hAnsi="Verdana"/>
          <w:sz w:val="22"/>
          <w:lang w:val="es-ES"/>
        </w:rPr>
        <w:t xml:space="preserve"> </w:t>
      </w:r>
      <w:r>
        <w:rPr>
          <w:rFonts w:ascii="Verdana" w:hAnsi="Verdana"/>
          <w:sz w:val="22"/>
          <w:lang w:val="es-ES"/>
        </w:rPr>
        <w:t>por lo que</w:t>
      </w:r>
      <w:r w:rsidR="004F3327" w:rsidRPr="00F13347">
        <w:rPr>
          <w:rFonts w:ascii="Verdana" w:hAnsi="Verdana"/>
          <w:sz w:val="22"/>
          <w:lang w:val="es-ES"/>
        </w:rPr>
        <w:t xml:space="preserve"> deben esta</w:t>
      </w:r>
      <w:r w:rsidR="00A22BC1" w:rsidRPr="00F13347">
        <w:rPr>
          <w:rFonts w:ascii="Verdana" w:hAnsi="Verdana"/>
          <w:sz w:val="22"/>
          <w:lang w:val="es-ES"/>
        </w:rPr>
        <w:t>r preparados para estos eventos.</w:t>
      </w:r>
    </w:p>
    <w:p w14:paraId="08911DAC" w14:textId="77777777" w:rsidR="00790A5A" w:rsidRDefault="00790A5A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0F11F2E4" w14:textId="6EF1B1AB" w:rsidR="003F540E" w:rsidRPr="00C02828" w:rsidRDefault="003F540E" w:rsidP="00DF4AEE">
      <w:pPr>
        <w:spacing w:after="0" w:line="240" w:lineRule="auto"/>
        <w:jc w:val="center"/>
        <w:rPr>
          <w:rFonts w:ascii="Verdana" w:eastAsia="Arial" w:hAnsi="Verdana"/>
          <w:color w:val="000000" w:themeColor="text1"/>
          <w:kern w:val="2"/>
          <w:sz w:val="18"/>
          <w:szCs w:val="18"/>
          <w:lang w:val="es-MX"/>
          <w14:ligatures w14:val="standardContextual"/>
        </w:rPr>
      </w:pPr>
      <w:r w:rsidRPr="00C02828">
        <w:rPr>
          <w:rFonts w:ascii="Verdana" w:eastAsia="Arial" w:hAnsi="Verdana"/>
          <w:color w:val="000000" w:themeColor="text1"/>
          <w:kern w:val="2"/>
          <w:sz w:val="18"/>
          <w:szCs w:val="18"/>
          <w:highlight w:val="green"/>
          <w:lang w:val="es-MX"/>
          <w14:ligatures w14:val="standardContextual"/>
        </w:rPr>
        <w:t>Colocar imagen alergólogo_u4</w:t>
      </w:r>
    </w:p>
    <w:p w14:paraId="4DC2A15D" w14:textId="54C10F9F" w:rsidR="003F540E" w:rsidRPr="00C02828" w:rsidRDefault="003F540E" w:rsidP="00DF4AEE">
      <w:pPr>
        <w:spacing w:after="0" w:line="240" w:lineRule="auto"/>
        <w:jc w:val="center"/>
        <w:rPr>
          <w:rFonts w:ascii="Verdana" w:eastAsia="Arial" w:hAnsi="Verdana"/>
          <w:color w:val="000000" w:themeColor="text1"/>
          <w:kern w:val="2"/>
          <w:sz w:val="18"/>
          <w:szCs w:val="18"/>
          <w:lang w:val="es-MX"/>
          <w14:ligatures w14:val="standardContextual"/>
        </w:rPr>
      </w:pPr>
      <w:r w:rsidRPr="00C02828">
        <w:rPr>
          <w:rFonts w:ascii="Verdana" w:eastAsia="Arial" w:hAnsi="Verdana"/>
          <w:color w:val="000000" w:themeColor="text1"/>
          <w:kern w:val="2"/>
          <w:sz w:val="18"/>
          <w:szCs w:val="18"/>
          <w:lang w:val="es-MX"/>
          <w14:ligatures w14:val="standardContextual"/>
        </w:rPr>
        <w:t xml:space="preserve">Gobierno de México. (2023). </w:t>
      </w:r>
      <w:hyperlink r:id="rId6" w:history="1">
        <w:r w:rsidR="00DF21C7" w:rsidRPr="00C02828">
          <w:rPr>
            <w:rFonts w:ascii="Verdana" w:eastAsia="Arial" w:hAnsi="Verdana"/>
            <w:i/>
            <w:iCs/>
            <w:color w:val="000000" w:themeColor="text1"/>
            <w:kern w:val="2"/>
            <w:sz w:val="18"/>
            <w:szCs w:val="18"/>
            <w:lang w:val="es-MX"/>
            <w14:ligatures w14:val="standardContextual"/>
          </w:rPr>
          <w:t>IMSS brinda tratamientos personalizados para controlar enfermedades alérgicas</w:t>
        </w:r>
      </w:hyperlink>
      <w:r w:rsidR="00DF21C7" w:rsidRPr="00C02828">
        <w:rPr>
          <w:rFonts w:ascii="Verdana" w:eastAsia="Arial" w:hAnsi="Verdana"/>
          <w:i/>
          <w:iCs/>
          <w:color w:val="000000" w:themeColor="text1"/>
          <w:kern w:val="2"/>
          <w:sz w:val="18"/>
          <w:szCs w:val="18"/>
          <w:lang w:val="es-MX"/>
          <w14:ligatures w14:val="standardContextual"/>
        </w:rPr>
        <w:t xml:space="preserve"> </w:t>
      </w:r>
      <w:r w:rsidR="00DF21C7" w:rsidRPr="00C02828">
        <w:rPr>
          <w:rFonts w:ascii="Verdana" w:eastAsia="Arial" w:hAnsi="Verdana"/>
          <w:color w:val="000000" w:themeColor="text1"/>
          <w:kern w:val="2"/>
          <w:sz w:val="18"/>
          <w:szCs w:val="18"/>
          <w:lang w:val="es-MX"/>
          <w14:ligatures w14:val="standardContextual"/>
        </w:rPr>
        <w:t xml:space="preserve">[fotografía]. Tomada de </w:t>
      </w:r>
      <w:hyperlink r:id="rId7" w:history="1">
        <w:r w:rsidR="00DF21C7" w:rsidRPr="00C02828">
          <w:rPr>
            <w:rFonts w:ascii="Verdana" w:eastAsia="Arial" w:hAnsi="Verdana"/>
            <w:color w:val="000000" w:themeColor="text1"/>
            <w:kern w:val="2"/>
            <w:sz w:val="18"/>
            <w:szCs w:val="18"/>
            <w:lang w:val="es-MX"/>
            <w14:ligatures w14:val="standardContextual"/>
          </w:rPr>
          <w:t>https://www.imss.gob.mx/prensa/archivo/202307/333</w:t>
        </w:r>
      </w:hyperlink>
    </w:p>
    <w:p w14:paraId="475E07E1" w14:textId="77777777" w:rsidR="00DF21C7" w:rsidRPr="00F13347" w:rsidRDefault="00DF21C7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23DB71FE" w14:textId="77777777" w:rsidR="00DC44F6" w:rsidRPr="00F13347" w:rsidRDefault="00DC44F6" w:rsidP="00DF4AEE">
      <w:pPr>
        <w:spacing w:after="0" w:line="240" w:lineRule="auto"/>
        <w:jc w:val="both"/>
        <w:rPr>
          <w:rFonts w:ascii="Verdana" w:hAnsi="Verdana"/>
          <w:b/>
          <w:sz w:val="22"/>
          <w:lang w:val="es-ES"/>
        </w:rPr>
      </w:pPr>
      <w:r w:rsidRPr="00F13347">
        <w:rPr>
          <w:rFonts w:ascii="Verdana" w:hAnsi="Verdana"/>
          <w:b/>
          <w:sz w:val="22"/>
          <w:lang w:val="es-ES"/>
        </w:rPr>
        <w:t>Terapia biológica</w:t>
      </w:r>
    </w:p>
    <w:p w14:paraId="2FCA8E66" w14:textId="77777777" w:rsidR="00790A5A" w:rsidRPr="00F13347" w:rsidRDefault="00790A5A" w:rsidP="00DF4AEE">
      <w:pPr>
        <w:spacing w:after="0" w:line="240" w:lineRule="auto"/>
        <w:jc w:val="both"/>
        <w:rPr>
          <w:rFonts w:ascii="Verdana" w:hAnsi="Verdana"/>
          <w:b/>
          <w:sz w:val="22"/>
          <w:lang w:val="es-ES"/>
        </w:rPr>
      </w:pPr>
    </w:p>
    <w:p w14:paraId="1A9B418B" w14:textId="106E71B9" w:rsidR="00EB1122" w:rsidRDefault="00E03D02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F13347">
        <w:rPr>
          <w:rFonts w:ascii="Verdana" w:hAnsi="Verdana"/>
          <w:sz w:val="22"/>
          <w:lang w:val="es-ES"/>
        </w:rPr>
        <w:t xml:space="preserve">Debido al importante papel que desempeña la vía </w:t>
      </w:r>
      <w:r w:rsidR="00D4374B" w:rsidRPr="00F13347">
        <w:rPr>
          <w:rFonts w:ascii="Verdana" w:hAnsi="Verdana"/>
          <w:sz w:val="22"/>
          <w:lang w:val="es-ES"/>
        </w:rPr>
        <w:t>de la inmunoglobulina E y su receptor de alta afinidad (</w:t>
      </w:r>
      <w:r w:rsidRPr="00F13347">
        <w:rPr>
          <w:rFonts w:ascii="Verdana" w:hAnsi="Verdana"/>
          <w:sz w:val="22"/>
          <w:lang w:val="es-ES"/>
        </w:rPr>
        <w:t>IgE/Fc</w:t>
      </w:r>
      <w:r w:rsidRPr="00F13347">
        <w:rPr>
          <w:rFonts w:ascii="Verdana" w:hAnsi="Verdana"/>
          <w:sz w:val="22"/>
        </w:rPr>
        <w:t>ε</w:t>
      </w:r>
      <w:r w:rsidR="00DC44F6" w:rsidRPr="00F13347">
        <w:rPr>
          <w:rFonts w:ascii="Verdana" w:hAnsi="Verdana"/>
          <w:sz w:val="22"/>
          <w:lang w:val="es-ES"/>
        </w:rPr>
        <w:t>RI</w:t>
      </w:r>
      <w:r w:rsidR="00D4374B" w:rsidRPr="00F13347">
        <w:rPr>
          <w:rFonts w:ascii="Verdana" w:hAnsi="Verdana"/>
          <w:sz w:val="22"/>
          <w:lang w:val="es-ES"/>
        </w:rPr>
        <w:t>)</w:t>
      </w:r>
      <w:r w:rsidR="00DC44F6" w:rsidRPr="00F13347">
        <w:rPr>
          <w:rFonts w:ascii="Verdana" w:hAnsi="Verdana"/>
          <w:sz w:val="22"/>
          <w:lang w:val="es-ES"/>
        </w:rPr>
        <w:t xml:space="preserve"> en la alergia alimentaria</w:t>
      </w:r>
      <w:r w:rsidRPr="00F13347">
        <w:rPr>
          <w:rFonts w:ascii="Verdana" w:hAnsi="Verdana"/>
          <w:sz w:val="22"/>
          <w:lang w:val="es-ES"/>
        </w:rPr>
        <w:t xml:space="preserve">, se ha demostrado que la supresión de la IgE con anticuerpos monoclonales, como talizumab y omalizumab, proporciona beneficios clínicos en pacientes con </w:t>
      </w:r>
      <w:r w:rsidR="00DC44F6" w:rsidRPr="00F13347">
        <w:rPr>
          <w:rFonts w:ascii="Verdana" w:hAnsi="Verdana"/>
          <w:sz w:val="22"/>
          <w:lang w:val="es-ES"/>
        </w:rPr>
        <w:t>alergia alimentaria</w:t>
      </w:r>
      <w:r w:rsidR="00D16899">
        <w:rPr>
          <w:rFonts w:ascii="Verdana" w:hAnsi="Verdana"/>
          <w:sz w:val="22"/>
          <w:lang w:val="es-ES"/>
        </w:rPr>
        <w:t>.</w:t>
      </w:r>
    </w:p>
    <w:p w14:paraId="754CB399" w14:textId="77777777" w:rsidR="00EB1122" w:rsidRDefault="00EB1122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09229CDF" w14:textId="25EADB7F" w:rsidR="00E726C2" w:rsidRDefault="00E726C2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E726C2">
        <w:rPr>
          <w:rFonts w:ascii="Verdana" w:hAnsi="Verdana"/>
          <w:sz w:val="22"/>
          <w:highlight w:val="green"/>
          <w:lang w:val="es-ES"/>
        </w:rPr>
        <w:t>Dar tratamiento a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580"/>
      </w:tblGrid>
      <w:tr w:rsidR="00EB1122" w14:paraId="34E0365E" w14:textId="77777777" w:rsidTr="00284867">
        <w:tc>
          <w:tcPr>
            <w:tcW w:w="8828" w:type="dxa"/>
            <w:gridSpan w:val="2"/>
          </w:tcPr>
          <w:p w14:paraId="67B56492" w14:textId="780D9361" w:rsidR="00EB1122" w:rsidRPr="00EB1122" w:rsidRDefault="00EB1122" w:rsidP="00DF4AEE">
            <w:pPr>
              <w:jc w:val="center"/>
              <w:rPr>
                <w:rFonts w:ascii="Verdana" w:hAnsi="Verdana"/>
                <w:b/>
                <w:bCs/>
                <w:sz w:val="22"/>
                <w:lang w:val="es-ES"/>
              </w:rPr>
            </w:pPr>
            <w:r w:rsidRPr="00EB1122">
              <w:rPr>
                <w:rFonts w:ascii="Verdana" w:hAnsi="Verdana"/>
                <w:b/>
                <w:bCs/>
                <w:sz w:val="22"/>
                <w:lang w:val="es-ES"/>
              </w:rPr>
              <w:t>Anticuerpo</w:t>
            </w:r>
            <w:r w:rsidR="00D16899">
              <w:rPr>
                <w:rFonts w:ascii="Verdana" w:hAnsi="Verdana"/>
                <w:b/>
                <w:bCs/>
                <w:sz w:val="22"/>
                <w:lang w:val="es-ES"/>
              </w:rPr>
              <w:t>s</w:t>
            </w:r>
            <w:r w:rsidRPr="00EB1122">
              <w:rPr>
                <w:rFonts w:ascii="Verdana" w:hAnsi="Verdana"/>
                <w:b/>
                <w:bCs/>
                <w:sz w:val="22"/>
                <w:lang w:val="es-ES"/>
              </w:rPr>
              <w:t xml:space="preserve"> monoclonales</w:t>
            </w:r>
          </w:p>
        </w:tc>
      </w:tr>
      <w:tr w:rsidR="00EB1122" w:rsidRPr="00D16899" w14:paraId="78D5F098" w14:textId="77777777" w:rsidTr="00C02828">
        <w:tc>
          <w:tcPr>
            <w:tcW w:w="4248" w:type="dxa"/>
          </w:tcPr>
          <w:p w14:paraId="3135F85F" w14:textId="63E401C3" w:rsidR="00EB1122" w:rsidRPr="00D16899" w:rsidRDefault="00EB1122" w:rsidP="00DF4AEE">
            <w:pPr>
              <w:jc w:val="center"/>
              <w:rPr>
                <w:rFonts w:ascii="Verdana" w:hAnsi="Verdana"/>
                <w:bCs/>
                <w:sz w:val="22"/>
                <w:lang w:val="es-ES"/>
              </w:rPr>
            </w:pPr>
            <w:r w:rsidRPr="00D16899">
              <w:rPr>
                <w:rFonts w:ascii="Verdana" w:hAnsi="Verdana"/>
                <w:bCs/>
                <w:iCs/>
                <w:sz w:val="22"/>
                <w:lang w:val="es-ES"/>
              </w:rPr>
              <w:t>Talizumab</w:t>
            </w:r>
          </w:p>
        </w:tc>
        <w:tc>
          <w:tcPr>
            <w:tcW w:w="4580" w:type="dxa"/>
          </w:tcPr>
          <w:p w14:paraId="7E8614B9" w14:textId="65C0AFAB" w:rsidR="00EB1122" w:rsidRPr="00D16899" w:rsidRDefault="00EB1122" w:rsidP="00DF4AEE">
            <w:pPr>
              <w:jc w:val="center"/>
              <w:rPr>
                <w:rFonts w:ascii="Verdana" w:hAnsi="Verdana"/>
                <w:bCs/>
                <w:sz w:val="22"/>
                <w:lang w:val="es-ES"/>
              </w:rPr>
            </w:pPr>
            <w:r w:rsidRPr="00D16899">
              <w:rPr>
                <w:rFonts w:ascii="Verdana" w:hAnsi="Verdana"/>
                <w:bCs/>
                <w:iCs/>
                <w:sz w:val="22"/>
                <w:lang w:val="es-ES"/>
              </w:rPr>
              <w:t>Omalizumab</w:t>
            </w:r>
          </w:p>
        </w:tc>
      </w:tr>
      <w:tr w:rsidR="00EB1122" w:rsidRPr="004140AA" w14:paraId="75E983D8" w14:textId="77777777" w:rsidTr="00C02828">
        <w:tc>
          <w:tcPr>
            <w:tcW w:w="4248" w:type="dxa"/>
          </w:tcPr>
          <w:p w14:paraId="427BECEE" w14:textId="286EA58F" w:rsidR="00EB1122" w:rsidRDefault="00E726C2" w:rsidP="00DF4AEE">
            <w:pPr>
              <w:jc w:val="both"/>
              <w:rPr>
                <w:rFonts w:ascii="Verdana" w:hAnsi="Verdana"/>
                <w:sz w:val="22"/>
                <w:lang w:val="es-ES"/>
              </w:rPr>
            </w:pPr>
            <w:r>
              <w:rPr>
                <w:rFonts w:ascii="Verdana" w:hAnsi="Verdana"/>
                <w:sz w:val="22"/>
                <w:lang w:val="es-ES"/>
              </w:rPr>
              <w:t>F</w:t>
            </w:r>
            <w:r w:rsidR="00EB1122" w:rsidRPr="00F13347">
              <w:rPr>
                <w:rFonts w:ascii="Verdana" w:hAnsi="Verdana"/>
                <w:sz w:val="22"/>
                <w:lang w:val="es-ES"/>
              </w:rPr>
              <w:t xml:space="preserve">ue el primer anti-IgE que se estudió en el tratamiento de la alergia alimentaria y se demostró que protegía a la mayoría de los pacientes contra reacciones alérgicas derivadas de la exposición accidental al </w:t>
            </w:r>
            <w:r w:rsidR="00747582">
              <w:rPr>
                <w:rFonts w:ascii="Verdana" w:hAnsi="Verdana"/>
                <w:sz w:val="22"/>
                <w:lang w:val="es-ES"/>
              </w:rPr>
              <w:t>cacahuate</w:t>
            </w:r>
            <w:r>
              <w:rPr>
                <w:rFonts w:ascii="Verdana" w:hAnsi="Verdana"/>
                <w:sz w:val="22"/>
                <w:lang w:val="es-ES"/>
              </w:rPr>
              <w:t>,</w:t>
            </w:r>
            <w:r w:rsidR="00EB1122" w:rsidRPr="00F13347">
              <w:rPr>
                <w:rFonts w:ascii="Verdana" w:hAnsi="Verdana"/>
                <w:sz w:val="22"/>
                <w:lang w:val="es-ES"/>
              </w:rPr>
              <w:t xml:space="preserve"> al aumentar sustancialmente el umbral de reacción </w:t>
            </w:r>
            <w:r w:rsidR="00747582">
              <w:rPr>
                <w:rFonts w:ascii="Verdana" w:hAnsi="Verdana"/>
                <w:sz w:val="22"/>
                <w:lang w:val="es-ES"/>
              </w:rPr>
              <w:t>a este alimento</w:t>
            </w:r>
            <w:r w:rsidR="00EB1122" w:rsidRPr="00F13347">
              <w:rPr>
                <w:rFonts w:ascii="Verdana" w:hAnsi="Verdana"/>
                <w:sz w:val="22"/>
                <w:lang w:val="es-ES"/>
              </w:rPr>
              <w:t>.</w:t>
            </w:r>
          </w:p>
        </w:tc>
        <w:tc>
          <w:tcPr>
            <w:tcW w:w="4580" w:type="dxa"/>
          </w:tcPr>
          <w:p w14:paraId="273D4E17" w14:textId="25D3AD8D" w:rsidR="00EB1122" w:rsidRDefault="0097370A" w:rsidP="00DF4AEE">
            <w:pPr>
              <w:jc w:val="both"/>
              <w:rPr>
                <w:rFonts w:ascii="Verdana" w:hAnsi="Verdana"/>
                <w:sz w:val="22"/>
                <w:lang w:val="es-ES"/>
              </w:rPr>
            </w:pPr>
            <w:r>
              <w:rPr>
                <w:rFonts w:ascii="Verdana" w:hAnsi="Verdana"/>
                <w:sz w:val="22"/>
                <w:lang w:val="es-ES"/>
              </w:rPr>
              <w:t>Actualmente, e</w:t>
            </w:r>
            <w:r w:rsidR="00E726C2">
              <w:rPr>
                <w:rFonts w:ascii="Verdana" w:hAnsi="Verdana"/>
                <w:sz w:val="22"/>
                <w:lang w:val="es-ES"/>
              </w:rPr>
              <w:t>s el ú</w:t>
            </w:r>
            <w:r w:rsidR="00EB1122" w:rsidRPr="00F13347">
              <w:rPr>
                <w:rFonts w:ascii="Verdana" w:hAnsi="Verdana"/>
                <w:sz w:val="22"/>
                <w:lang w:val="es-ES"/>
              </w:rPr>
              <w:t>nico anticuerpo monoclonal ant</w:t>
            </w:r>
            <w:r>
              <w:rPr>
                <w:rFonts w:ascii="Verdana" w:hAnsi="Verdana"/>
                <w:sz w:val="22"/>
                <w:lang w:val="es-ES"/>
              </w:rPr>
              <w:t>i-IgE aprobado para uso clínico</w:t>
            </w:r>
            <w:r w:rsidR="00EB1122" w:rsidRPr="00F13347">
              <w:rPr>
                <w:rFonts w:ascii="Verdana" w:hAnsi="Verdana"/>
                <w:sz w:val="22"/>
                <w:lang w:val="es-ES"/>
              </w:rPr>
              <w:t xml:space="preserve"> </w:t>
            </w:r>
            <w:r w:rsidR="00E726C2">
              <w:rPr>
                <w:rFonts w:ascii="Verdana" w:hAnsi="Verdana"/>
                <w:sz w:val="22"/>
                <w:lang w:val="es-ES"/>
              </w:rPr>
              <w:t>en</w:t>
            </w:r>
            <w:r w:rsidR="00EB1122" w:rsidRPr="00F13347">
              <w:rPr>
                <w:rFonts w:ascii="Verdana" w:hAnsi="Verdana"/>
                <w:sz w:val="22"/>
                <w:lang w:val="es-ES"/>
              </w:rPr>
              <w:t xml:space="preserve"> el tratamiento del asma alérgica grave, la urticaria espontánea grave y la poliposis nasal grave. También se ha investigado para el tratamiento de alergia alimentaria, tanto como monoterapia como en combinación con la </w:t>
            </w:r>
            <w:r w:rsidR="00EB1122">
              <w:rPr>
                <w:rFonts w:ascii="Verdana" w:hAnsi="Verdana"/>
                <w:sz w:val="22"/>
                <w:lang w:val="es-ES"/>
              </w:rPr>
              <w:t>OIT</w:t>
            </w:r>
            <w:r w:rsidR="00EB1122" w:rsidRPr="00F13347">
              <w:rPr>
                <w:rFonts w:ascii="Verdana" w:hAnsi="Verdana"/>
                <w:sz w:val="22"/>
                <w:lang w:val="es-ES"/>
              </w:rPr>
              <w:t xml:space="preserve">. Los estudios han evaluado el tratamiento de las alergias al </w:t>
            </w:r>
            <w:r>
              <w:rPr>
                <w:rFonts w:ascii="Verdana" w:hAnsi="Verdana"/>
                <w:sz w:val="22"/>
                <w:lang w:val="es-ES"/>
              </w:rPr>
              <w:t>cacahuate</w:t>
            </w:r>
            <w:r w:rsidR="00EB1122" w:rsidRPr="00F13347">
              <w:rPr>
                <w:rFonts w:ascii="Verdana" w:hAnsi="Verdana"/>
                <w:sz w:val="22"/>
                <w:lang w:val="es-ES"/>
              </w:rPr>
              <w:t xml:space="preserve">, </w:t>
            </w:r>
            <w:r>
              <w:rPr>
                <w:rFonts w:ascii="Verdana" w:hAnsi="Verdana"/>
                <w:sz w:val="22"/>
                <w:lang w:val="es-ES"/>
              </w:rPr>
              <w:t xml:space="preserve">a </w:t>
            </w:r>
            <w:r w:rsidR="00EB1122" w:rsidRPr="00F13347">
              <w:rPr>
                <w:rFonts w:ascii="Verdana" w:hAnsi="Verdana"/>
                <w:sz w:val="22"/>
                <w:lang w:val="es-ES"/>
              </w:rPr>
              <w:t xml:space="preserve">la leche y a múltiples alimentos, </w:t>
            </w:r>
            <w:r>
              <w:rPr>
                <w:rFonts w:ascii="Verdana" w:hAnsi="Verdana"/>
                <w:sz w:val="22"/>
                <w:lang w:val="es-ES"/>
              </w:rPr>
              <w:t>con</w:t>
            </w:r>
            <w:r w:rsidR="00EB1122" w:rsidRPr="00F13347">
              <w:rPr>
                <w:rFonts w:ascii="Verdana" w:hAnsi="Verdana"/>
                <w:sz w:val="22"/>
                <w:lang w:val="es-ES"/>
              </w:rPr>
              <w:t xml:space="preserve"> resultados alentadores</w:t>
            </w:r>
            <w:r>
              <w:rPr>
                <w:rFonts w:ascii="Verdana" w:hAnsi="Verdana"/>
                <w:sz w:val="22"/>
                <w:lang w:val="es-ES"/>
              </w:rPr>
              <w:t xml:space="preserve"> en todos los casos</w:t>
            </w:r>
            <w:r w:rsidR="00EB1122" w:rsidRPr="00F13347">
              <w:rPr>
                <w:rFonts w:ascii="Verdana" w:hAnsi="Verdana"/>
                <w:sz w:val="22"/>
                <w:lang w:val="es-ES"/>
              </w:rPr>
              <w:t>.</w:t>
            </w:r>
          </w:p>
        </w:tc>
      </w:tr>
    </w:tbl>
    <w:p w14:paraId="23188A7C" w14:textId="77777777" w:rsidR="00EB1122" w:rsidRDefault="00EB1122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34B0D3E6" w14:textId="512E38FA" w:rsidR="00E03D02" w:rsidRPr="00F13347" w:rsidRDefault="00E03D02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F13347">
        <w:rPr>
          <w:rFonts w:ascii="Verdana" w:hAnsi="Verdana"/>
          <w:sz w:val="22"/>
          <w:lang w:val="es-ES"/>
        </w:rPr>
        <w:t>La evitación de alérgenos y el cuidado nutricional del paciente siguen siendo un enfoque clave para el tratamiento de la alergia alimentaria. Además, la terapia anti-IgE tiene el potencial de complementar el estándar de atención al dismi</w:t>
      </w:r>
      <w:r w:rsidR="00A5196C" w:rsidRPr="00F13347">
        <w:rPr>
          <w:rFonts w:ascii="Verdana" w:hAnsi="Verdana"/>
          <w:sz w:val="22"/>
          <w:lang w:val="es-ES"/>
        </w:rPr>
        <w:t>nuir el riesgo para el paciente.</w:t>
      </w:r>
    </w:p>
    <w:p w14:paraId="2384042D" w14:textId="77777777" w:rsidR="00790A5A" w:rsidRPr="00F13347" w:rsidRDefault="00790A5A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197C77F2" w14:textId="5435AFD2" w:rsidR="00DC44F6" w:rsidRPr="00F13347" w:rsidRDefault="00DC44F6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D17606">
        <w:rPr>
          <w:rFonts w:ascii="Verdana" w:hAnsi="Verdana"/>
          <w:bCs/>
          <w:sz w:val="22"/>
          <w:lang w:val="es-ES"/>
        </w:rPr>
        <w:t>Ligelizumab</w:t>
      </w:r>
      <w:r w:rsidRPr="00D17606">
        <w:rPr>
          <w:rFonts w:ascii="Verdana" w:hAnsi="Verdana"/>
          <w:sz w:val="22"/>
          <w:lang w:val="es-ES"/>
        </w:rPr>
        <w:t xml:space="preserve"> </w:t>
      </w:r>
      <w:r w:rsidR="004647FD">
        <w:rPr>
          <w:rFonts w:ascii="Verdana" w:hAnsi="Verdana"/>
          <w:sz w:val="22"/>
          <w:lang w:val="es-ES"/>
        </w:rPr>
        <w:t>—un derivado de talizumab—</w:t>
      </w:r>
      <w:r w:rsidRPr="00F13347">
        <w:rPr>
          <w:rFonts w:ascii="Verdana" w:hAnsi="Verdana"/>
          <w:sz w:val="22"/>
          <w:lang w:val="es-ES"/>
        </w:rPr>
        <w:t xml:space="preserve"> es un anticuerpo monoclonal humanizado de próxima generación que muestra una mayor superposición con el sitio de unión de FcεRI</w:t>
      </w:r>
      <w:r w:rsidR="00D17606">
        <w:rPr>
          <w:rFonts w:ascii="Verdana" w:hAnsi="Verdana"/>
          <w:sz w:val="22"/>
          <w:lang w:val="es-ES"/>
        </w:rPr>
        <w:t>.</w:t>
      </w:r>
      <w:r w:rsidRPr="00F13347">
        <w:rPr>
          <w:rFonts w:ascii="Verdana" w:hAnsi="Verdana"/>
          <w:sz w:val="22"/>
          <w:lang w:val="es-ES"/>
        </w:rPr>
        <w:t xml:space="preserve"> </w:t>
      </w:r>
      <w:r w:rsidR="00D17606">
        <w:rPr>
          <w:rFonts w:ascii="Verdana" w:hAnsi="Verdana"/>
          <w:sz w:val="22"/>
          <w:lang w:val="es-ES"/>
        </w:rPr>
        <w:t>Este anticuerpo</w:t>
      </w:r>
      <w:r w:rsidRPr="00F13347">
        <w:rPr>
          <w:rFonts w:ascii="Verdana" w:hAnsi="Verdana"/>
          <w:sz w:val="22"/>
          <w:lang w:val="es-ES"/>
        </w:rPr>
        <w:t xml:space="preserve"> se une a la IgE humana con una afinidad 88 veces mayor en comparación con omalizumab. En consecuencia, ligelizumab ha demostrado una alta potencia para bloquear la señalización de IgE/FcεRI en estudios </w:t>
      </w:r>
      <w:r w:rsidRPr="00D17606">
        <w:rPr>
          <w:rFonts w:ascii="Verdana" w:hAnsi="Verdana"/>
          <w:i/>
          <w:sz w:val="22"/>
          <w:lang w:val="es-ES"/>
        </w:rPr>
        <w:t>in vitro</w:t>
      </w:r>
      <w:r w:rsidRPr="00F13347">
        <w:rPr>
          <w:rFonts w:ascii="Verdana" w:hAnsi="Verdana"/>
          <w:sz w:val="22"/>
          <w:lang w:val="es-ES"/>
        </w:rPr>
        <w:t xml:space="preserve"> e </w:t>
      </w:r>
      <w:r w:rsidRPr="00D17606">
        <w:rPr>
          <w:rFonts w:ascii="Verdana" w:hAnsi="Verdana"/>
          <w:i/>
          <w:sz w:val="22"/>
          <w:lang w:val="es-ES"/>
        </w:rPr>
        <w:t>in vivo</w:t>
      </w:r>
      <w:r w:rsidRPr="00F13347">
        <w:rPr>
          <w:rFonts w:ascii="Verdana" w:hAnsi="Verdana"/>
          <w:sz w:val="22"/>
          <w:lang w:val="es-ES"/>
        </w:rPr>
        <w:t xml:space="preserve">. </w:t>
      </w:r>
      <w:r w:rsidR="00A744DD">
        <w:rPr>
          <w:rFonts w:ascii="Verdana" w:hAnsi="Verdana"/>
          <w:sz w:val="22"/>
          <w:lang w:val="es-ES"/>
        </w:rPr>
        <w:t>Por lo tanto</w:t>
      </w:r>
      <w:r w:rsidRPr="00F13347">
        <w:rPr>
          <w:rFonts w:ascii="Verdana" w:hAnsi="Verdana"/>
          <w:sz w:val="22"/>
          <w:lang w:val="es-ES"/>
        </w:rPr>
        <w:t xml:space="preserve">, considerando su potente </w:t>
      </w:r>
      <w:r w:rsidRPr="00F13347">
        <w:rPr>
          <w:rFonts w:ascii="Verdana" w:hAnsi="Verdana"/>
          <w:sz w:val="22"/>
          <w:lang w:val="es-ES"/>
        </w:rPr>
        <w:lastRenderedPageBreak/>
        <w:t>supresión tanto de la IgE s</w:t>
      </w:r>
      <w:r w:rsidR="00D17606">
        <w:rPr>
          <w:rFonts w:ascii="Verdana" w:hAnsi="Verdana"/>
          <w:sz w:val="22"/>
          <w:lang w:val="es-ES"/>
        </w:rPr>
        <w:t>érica como de la prueba cutánea</w:t>
      </w:r>
      <w:r w:rsidRPr="00F13347">
        <w:rPr>
          <w:rFonts w:ascii="Verdana" w:hAnsi="Verdana"/>
          <w:sz w:val="22"/>
          <w:lang w:val="es-ES"/>
        </w:rPr>
        <w:t xml:space="preserve"> y su perfil de seguridad conocido, ligelizumab es un </w:t>
      </w:r>
      <w:r w:rsidRPr="007A1432">
        <w:rPr>
          <w:rFonts w:ascii="Verdana" w:hAnsi="Verdana"/>
          <w:sz w:val="22"/>
          <w:lang w:val="es-ES"/>
        </w:rPr>
        <w:t>candidato prometedor</w:t>
      </w:r>
      <w:r w:rsidRPr="00F13347">
        <w:rPr>
          <w:rFonts w:ascii="Verdana" w:hAnsi="Verdana"/>
          <w:sz w:val="22"/>
          <w:lang w:val="es-ES"/>
        </w:rPr>
        <w:t xml:space="preserve"> para ser investigado en el manejo de pacientes con alergia alimentaria</w:t>
      </w:r>
      <w:r w:rsidR="00A5196C" w:rsidRPr="00F13347">
        <w:rPr>
          <w:rFonts w:ascii="Verdana" w:hAnsi="Verdana"/>
          <w:sz w:val="22"/>
          <w:lang w:val="es-ES"/>
        </w:rPr>
        <w:t xml:space="preserve"> mediada por IgE.</w:t>
      </w:r>
    </w:p>
    <w:p w14:paraId="194E6C3B" w14:textId="77777777" w:rsidR="00790A5A" w:rsidRPr="00F13347" w:rsidRDefault="00790A5A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571230D1" w14:textId="09AF88BD" w:rsidR="00470685" w:rsidRPr="00F13347" w:rsidRDefault="00A744DD" w:rsidP="00DF4AEE">
      <w:pPr>
        <w:spacing w:after="0" w:line="240" w:lineRule="auto"/>
        <w:jc w:val="both"/>
        <w:rPr>
          <w:rFonts w:ascii="Verdana" w:hAnsi="Verdana"/>
          <w:b/>
          <w:sz w:val="22"/>
          <w:lang w:val="es-ES"/>
        </w:rPr>
      </w:pPr>
      <w:r>
        <w:rPr>
          <w:rFonts w:ascii="Verdana" w:hAnsi="Verdana"/>
          <w:b/>
          <w:sz w:val="22"/>
          <w:lang w:val="es-ES"/>
        </w:rPr>
        <w:t>Dupilumab en esofagitis e</w:t>
      </w:r>
      <w:r w:rsidR="00470685" w:rsidRPr="00F13347">
        <w:rPr>
          <w:rFonts w:ascii="Verdana" w:hAnsi="Verdana"/>
          <w:b/>
          <w:sz w:val="22"/>
          <w:lang w:val="es-ES"/>
        </w:rPr>
        <w:t>osinofílica</w:t>
      </w:r>
    </w:p>
    <w:p w14:paraId="006F907C" w14:textId="77777777" w:rsidR="00790A5A" w:rsidRPr="00F13347" w:rsidRDefault="00790A5A" w:rsidP="00DF4AEE">
      <w:pPr>
        <w:spacing w:after="0" w:line="240" w:lineRule="auto"/>
        <w:jc w:val="both"/>
        <w:rPr>
          <w:rFonts w:ascii="Verdana" w:hAnsi="Verdana"/>
          <w:b/>
          <w:sz w:val="22"/>
          <w:lang w:val="es-ES"/>
        </w:rPr>
      </w:pPr>
    </w:p>
    <w:p w14:paraId="3163F96F" w14:textId="372B1181" w:rsidR="007A1432" w:rsidRDefault="0074037F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  <w:r w:rsidRPr="00F13347">
        <w:rPr>
          <w:rFonts w:ascii="Verdana" w:hAnsi="Verdana"/>
          <w:sz w:val="22"/>
          <w:lang w:val="es-ES"/>
        </w:rPr>
        <w:t xml:space="preserve">El diagnóstico de la </w:t>
      </w:r>
      <w:r w:rsidR="00A744DD">
        <w:rPr>
          <w:rFonts w:ascii="Verdana" w:hAnsi="Verdana"/>
          <w:sz w:val="22"/>
          <w:lang w:val="es-ES"/>
        </w:rPr>
        <w:t>EoE</w:t>
      </w:r>
      <w:r w:rsidRPr="00F13347">
        <w:rPr>
          <w:rFonts w:ascii="Verdana" w:hAnsi="Verdana"/>
          <w:sz w:val="22"/>
          <w:lang w:val="es-ES"/>
        </w:rPr>
        <w:t xml:space="preserve"> se establece con base en los síntomas clínicos de disfunción esofágica y la presencia de más de 15 eosinófilos</w:t>
      </w:r>
      <w:r w:rsidR="007A1432">
        <w:rPr>
          <w:rFonts w:ascii="Verdana" w:hAnsi="Verdana"/>
          <w:sz w:val="22"/>
          <w:lang w:val="es-ES"/>
        </w:rPr>
        <w:t>/CAP</w:t>
      </w:r>
      <w:r w:rsidR="004647FD">
        <w:rPr>
          <w:rFonts w:ascii="Verdana" w:hAnsi="Verdana"/>
          <w:sz w:val="22"/>
          <w:lang w:val="es-ES"/>
        </w:rPr>
        <w:t xml:space="preserve"> —60 eosinófilos/mm</w:t>
      </w:r>
      <w:r w:rsidR="00BA33BB" w:rsidRPr="00BA33BB">
        <w:rPr>
          <w:rFonts w:ascii="Verdana" w:hAnsi="Verdana"/>
          <w:sz w:val="22"/>
          <w:vertAlign w:val="superscript"/>
          <w:lang w:val="es-ES"/>
        </w:rPr>
        <w:t>2</w:t>
      </w:r>
      <w:r w:rsidR="004647FD">
        <w:rPr>
          <w:rFonts w:ascii="Verdana" w:hAnsi="Verdana"/>
          <w:sz w:val="22"/>
          <w:lang w:val="es-ES"/>
        </w:rPr>
        <w:t>—</w:t>
      </w:r>
      <w:r w:rsidRPr="00F13347">
        <w:rPr>
          <w:rFonts w:ascii="Verdana" w:hAnsi="Verdana"/>
          <w:sz w:val="22"/>
          <w:lang w:val="es-ES"/>
        </w:rPr>
        <w:t xml:space="preserve"> limitados al esófago. Los síntomas de disfunción esofágica </w:t>
      </w:r>
      <w:r w:rsidR="006227BD">
        <w:rPr>
          <w:rFonts w:ascii="Verdana" w:hAnsi="Verdana"/>
          <w:sz w:val="22"/>
          <w:lang w:val="es-ES"/>
        </w:rPr>
        <w:t>varían</w:t>
      </w:r>
      <w:r w:rsidRPr="00F13347">
        <w:rPr>
          <w:rFonts w:ascii="Verdana" w:hAnsi="Verdana"/>
          <w:sz w:val="22"/>
          <w:lang w:val="es-ES"/>
        </w:rPr>
        <w:t xml:space="preserve"> ampliamente, desde </w:t>
      </w:r>
      <w:r w:rsidR="00A744DD">
        <w:rPr>
          <w:rFonts w:ascii="Verdana" w:hAnsi="Verdana"/>
          <w:sz w:val="22"/>
          <w:lang w:val="es-ES"/>
        </w:rPr>
        <w:t>problemas</w:t>
      </w:r>
      <w:r w:rsidRPr="00F13347">
        <w:rPr>
          <w:rFonts w:ascii="Verdana" w:hAnsi="Verdana"/>
          <w:sz w:val="22"/>
          <w:lang w:val="es-ES"/>
        </w:rPr>
        <w:t xml:space="preserve"> de crecimiento o pérdida de peso, dolor abdominal y vómitos, síntomas similares al reflujo, hasta disfagia </w:t>
      </w:r>
      <w:r w:rsidR="00EB1122">
        <w:rPr>
          <w:rFonts w:ascii="Verdana" w:hAnsi="Verdana"/>
          <w:sz w:val="22"/>
          <w:lang w:val="es-ES"/>
        </w:rPr>
        <w:t>e</w:t>
      </w:r>
      <w:r w:rsidRPr="00F13347">
        <w:rPr>
          <w:rFonts w:ascii="Verdana" w:hAnsi="Verdana"/>
          <w:sz w:val="22"/>
          <w:lang w:val="es-ES"/>
        </w:rPr>
        <w:t xml:space="preserve"> impactación alimentaria. Es fundamental</w:t>
      </w:r>
      <w:r w:rsidR="007A1432">
        <w:rPr>
          <w:rFonts w:ascii="Verdana" w:hAnsi="Verdana"/>
          <w:sz w:val="22"/>
          <w:lang w:val="es-ES"/>
        </w:rPr>
        <w:t xml:space="preserve">, antes de establecer un diagnóstico definitivo, </w:t>
      </w:r>
      <w:r w:rsidRPr="00F13347">
        <w:rPr>
          <w:rFonts w:ascii="Verdana" w:hAnsi="Verdana"/>
          <w:sz w:val="22"/>
          <w:lang w:val="es-ES"/>
        </w:rPr>
        <w:t>descartar otras causas de eosinofilia esofágica, especialmente la enfermedad por reflujo gastroesofágico (ERGE), que es la causa alternativa más común</w:t>
      </w:r>
      <w:r w:rsidR="00564AE5" w:rsidRPr="00F13347">
        <w:rPr>
          <w:rFonts w:ascii="Verdana" w:hAnsi="Verdana"/>
          <w:sz w:val="22"/>
          <w:lang w:val="es-ES"/>
        </w:rPr>
        <w:t xml:space="preserve">. </w:t>
      </w:r>
    </w:p>
    <w:p w14:paraId="2E0F7D46" w14:textId="77777777" w:rsidR="007A1432" w:rsidRDefault="007A1432" w:rsidP="00DF4AEE">
      <w:pPr>
        <w:spacing w:after="0" w:line="240" w:lineRule="auto"/>
        <w:jc w:val="both"/>
        <w:rPr>
          <w:rFonts w:ascii="Verdana" w:hAnsi="Verdana"/>
          <w:sz w:val="22"/>
          <w:lang w:val="es-ES"/>
        </w:rPr>
      </w:pPr>
    </w:p>
    <w:p w14:paraId="6217D86C" w14:textId="4B26972F" w:rsidR="001A3CDF" w:rsidRPr="001A3CDF" w:rsidRDefault="00933A82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  <w:r w:rsidRPr="00933A82">
        <w:rPr>
          <w:rFonts w:ascii="Verdana" w:hAnsi="Verdana"/>
          <w:noProof/>
          <w:sz w:val="22"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1354ED" wp14:editId="2B207B72">
                <wp:simplePos x="0" y="0"/>
                <wp:positionH relativeFrom="column">
                  <wp:posOffset>3403092</wp:posOffset>
                </wp:positionH>
                <wp:positionV relativeFrom="paragraph">
                  <wp:posOffset>3810</wp:posOffset>
                </wp:positionV>
                <wp:extent cx="2244725" cy="179197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79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EEAC9" w14:textId="5209F4F3" w:rsidR="00933A82" w:rsidRPr="00C02828" w:rsidRDefault="00933A82" w:rsidP="00C0282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C02828">
                              <w:rPr>
                                <w:rFonts w:ascii="Verdana" w:hAnsi="Verdana"/>
                                <w:sz w:val="18"/>
                                <w:szCs w:val="18"/>
                                <w:highlight w:val="green"/>
                                <w:lang w:val="es-MX"/>
                              </w:rPr>
                              <w:t>Colocar imagen monitoreo_u4</w:t>
                            </w:r>
                          </w:p>
                          <w:p w14:paraId="1A0983D3" w14:textId="090436C4" w:rsidR="00933A82" w:rsidRPr="00C02828" w:rsidRDefault="00933A82" w:rsidP="00C02828">
                            <w:pPr>
                              <w:spacing w:after="0" w:line="240" w:lineRule="auto"/>
                              <w:jc w:val="center"/>
                              <w:rPr>
                                <w:rFonts w:ascii="Verdana" w:eastAsia="Arial" w:hAnsi="Verdana"/>
                                <w:color w:val="7F7F7F"/>
                                <w:kern w:val="2"/>
                                <w:sz w:val="18"/>
                                <w:szCs w:val="18"/>
                                <w:lang w:val="es-MX"/>
                                <w14:ligatures w14:val="standardContextual"/>
                              </w:rPr>
                            </w:pPr>
                            <w:r w:rsidRPr="00C02828">
                              <w:rPr>
                                <w:rFonts w:ascii="Verdana" w:eastAsia="Arial" w:hAnsi="Verdana"/>
                                <w:color w:val="000000" w:themeColor="text1"/>
                                <w:kern w:val="2"/>
                                <w:sz w:val="18"/>
                                <w:szCs w:val="18"/>
                                <w:lang w:val="es-MX"/>
                                <w14:ligatures w14:val="standardContextual"/>
                              </w:rPr>
                              <w:t xml:space="preserve">Danilyuk, P. (2021). </w:t>
                            </w:r>
                            <w:r w:rsidRPr="00C5006D">
                              <w:rPr>
                                <w:rFonts w:ascii="Verdana" w:eastAsia="Arial" w:hAnsi="Verdana"/>
                                <w:i/>
                                <w:iCs/>
                                <w:color w:val="000000" w:themeColor="text1"/>
                                <w:kern w:val="2"/>
                                <w:sz w:val="18"/>
                                <w:szCs w:val="18"/>
                                <w:lang w:val="es-MX"/>
                                <w14:ligatures w14:val="standardContextual"/>
                              </w:rPr>
                              <w:t>Monitoreo médico</w:t>
                            </w:r>
                            <w:r w:rsidRPr="00C02828">
                              <w:rPr>
                                <w:rFonts w:ascii="Verdana" w:eastAsia="Arial" w:hAnsi="Verdana"/>
                                <w:color w:val="000000" w:themeColor="text1"/>
                                <w:kern w:val="2"/>
                                <w:sz w:val="18"/>
                                <w:szCs w:val="18"/>
                                <w:lang w:val="es-MX"/>
                                <w14:ligatures w14:val="standardContextual"/>
                              </w:rPr>
                              <w:t xml:space="preserve"> [fotografía]. Tomada de https://www.pexels.com/es-es/foto/sentado-doctor-madre-adentro-7653094/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1354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67.95pt;margin-top:.3pt;width:176.75pt;height:141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">
                <v:textbox style="mso-fit-shape-to-text:t">
                  <w:txbxContent>
                    <w:p w14:paraId="17EEEAC9" w14:textId="5209F4F3" w:rsidR="00933A82" w:rsidRPr="00C02828" w:rsidRDefault="00933A82" w:rsidP="00C0282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sz w:val="18"/>
                          <w:szCs w:val="18"/>
                          <w:lang w:val="es-MX"/>
                        </w:rPr>
                      </w:pPr>
                      <w:r w:rsidRPr="00C02828">
                        <w:rPr>
                          <w:rFonts w:ascii="Verdana" w:hAnsi="Verdana"/>
                          <w:sz w:val="18"/>
                          <w:szCs w:val="18"/>
                          <w:highlight w:val="green"/>
                          <w:lang w:val="es-MX"/>
                        </w:rPr>
                        <w:t>Colocar imagen monitoreo_u4</w:t>
                      </w:r>
                    </w:p>
                    <w:p w14:paraId="1A0983D3" w14:textId="090436C4" w:rsidR="00933A82" w:rsidRPr="00C02828" w:rsidRDefault="00933A82" w:rsidP="00C02828">
                      <w:pPr>
                        <w:spacing w:after="0" w:line="240" w:lineRule="auto"/>
                        <w:jc w:val="center"/>
                        <w:rPr>
                          <w:rFonts w:ascii="Verdana" w:eastAsia="Arial" w:hAnsi="Verdana"/>
                          <w:color w:val="7F7F7F"/>
                          <w:kern w:val="2"/>
                          <w:sz w:val="18"/>
                          <w:szCs w:val="18"/>
                          <w:lang w:val="es-MX"/>
                          <w14:ligatures w14:val="standardContextual"/>
                        </w:rPr>
                      </w:pPr>
                      <w:r w:rsidRPr="00C02828">
                        <w:rPr>
                          <w:rFonts w:ascii="Verdana" w:eastAsia="Arial" w:hAnsi="Verdana"/>
                          <w:color w:val="000000" w:themeColor="text1"/>
                          <w:kern w:val="2"/>
                          <w:sz w:val="18"/>
                          <w:szCs w:val="18"/>
                          <w:lang w:val="es-MX"/>
                          <w14:ligatures w14:val="standardContextual"/>
                        </w:rPr>
                        <w:t xml:space="preserve">Danilyuk, P. (2021). </w:t>
                      </w:r>
                      <w:r w:rsidRPr="00C5006D">
                        <w:rPr>
                          <w:rFonts w:ascii="Verdana" w:eastAsia="Arial" w:hAnsi="Verdana"/>
                          <w:i/>
                          <w:iCs/>
                          <w:color w:val="000000" w:themeColor="text1"/>
                          <w:kern w:val="2"/>
                          <w:sz w:val="18"/>
                          <w:szCs w:val="18"/>
                          <w:lang w:val="es-MX"/>
                          <w14:ligatures w14:val="standardContextual"/>
                        </w:rPr>
                        <w:t>Monitoreo médico</w:t>
                      </w:r>
                      <w:r w:rsidRPr="00C02828">
                        <w:rPr>
                          <w:rFonts w:ascii="Verdana" w:eastAsia="Arial" w:hAnsi="Verdana"/>
                          <w:color w:val="000000" w:themeColor="text1"/>
                          <w:kern w:val="2"/>
                          <w:sz w:val="18"/>
                          <w:szCs w:val="18"/>
                          <w:lang w:val="es-MX"/>
                          <w14:ligatures w14:val="standardContextual"/>
                        </w:rPr>
                        <w:t xml:space="preserve"> [fotografía]. Tomada de https://www.pexels.com/es-es/foto/sentado-doctor-madre-adentro-7653094/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CDF" w:rsidRPr="001A3CDF">
        <w:rPr>
          <w:rFonts w:ascii="Verdana" w:hAnsi="Verdana"/>
          <w:sz w:val="22"/>
          <w:lang w:val="es-MX"/>
        </w:rPr>
        <w:t>El tratamiento de la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esofagitis eosinofílica</w:t>
      </w:r>
      <w:r w:rsidR="00A744DD">
        <w:rPr>
          <w:rFonts w:ascii="Verdana" w:hAnsi="Verdana"/>
          <w:sz w:val="22"/>
          <w:lang w:val="es-MX"/>
        </w:rPr>
        <w:t>,</w:t>
      </w:r>
      <w:r w:rsidR="001A3CDF" w:rsidRPr="001A3CDF">
        <w:rPr>
          <w:rFonts w:ascii="Verdana" w:hAnsi="Verdana"/>
          <w:sz w:val="22"/>
          <w:lang w:val="es-MX"/>
        </w:rPr>
        <w:t xml:space="preserve"> </w:t>
      </w:r>
      <w:r w:rsidR="001A3CDF">
        <w:rPr>
          <w:rFonts w:ascii="Verdana" w:hAnsi="Verdana"/>
          <w:sz w:val="22"/>
          <w:lang w:val="es-MX"/>
        </w:rPr>
        <w:t>generalmente</w:t>
      </w:r>
      <w:r w:rsidR="00A744DD">
        <w:rPr>
          <w:rFonts w:ascii="Verdana" w:hAnsi="Verdana"/>
          <w:sz w:val="22"/>
          <w:lang w:val="es-MX"/>
        </w:rPr>
        <w:t>,</w:t>
      </w:r>
      <w:r w:rsidR="001A3CDF" w:rsidRPr="001A3CDF">
        <w:rPr>
          <w:rFonts w:ascii="Verdana" w:hAnsi="Verdana"/>
          <w:sz w:val="22"/>
          <w:lang w:val="es-MX"/>
        </w:rPr>
        <w:t xml:space="preserve"> </w:t>
      </w:r>
      <w:r w:rsidR="00A744DD">
        <w:rPr>
          <w:rFonts w:ascii="Verdana" w:hAnsi="Verdana"/>
          <w:sz w:val="22"/>
          <w:lang w:val="es-MX"/>
        </w:rPr>
        <w:t>incluye</w:t>
      </w:r>
      <w:r w:rsidR="001A3CDF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terapia dietética,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inhibidores de la bomba de protones (IBP)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y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corticosteroides tópicos deglutidos (TCS)</w:t>
      </w:r>
      <w:r w:rsidR="00C5006D">
        <w:rPr>
          <w:rFonts w:ascii="Verdana" w:hAnsi="Verdana"/>
          <w:sz w:val="22"/>
          <w:lang w:val="es-MX"/>
        </w:rPr>
        <w:t>; s</w:t>
      </w:r>
      <w:r w:rsidR="001A3CDF" w:rsidRPr="001A3CDF">
        <w:rPr>
          <w:rFonts w:ascii="Verdana" w:hAnsi="Verdana"/>
          <w:sz w:val="22"/>
          <w:lang w:val="es-MX"/>
        </w:rPr>
        <w:t>in embargo, el</w:t>
      </w:r>
      <w:r w:rsidR="001A3CDF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dupilumab (anti-IL4)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emerge como una opción de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tratamiento de primera línea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en pacientes con EoE grave. Además, puede utilizarse como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terapia de escalamiento, similar a su uso en el asma y la dermatitis atópica, en pacientes que no responden a otros tratamientos médicos o dietéticos. En todos los casos, se recomienda realizar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endoscopias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y monitorear los síntomas después de iniciar el tratamiento con dupilumab para evaluar su eficacia y beneficios.</w:t>
      </w:r>
    </w:p>
    <w:p w14:paraId="7EE7F741" w14:textId="77777777" w:rsidR="001A3CDF" w:rsidRDefault="001A3CDF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</w:p>
    <w:p w14:paraId="0FF364FC" w14:textId="544CFC7E" w:rsidR="001A3CDF" w:rsidRPr="001A3CDF" w:rsidRDefault="007A1432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  <w:r>
        <w:rPr>
          <w:rFonts w:ascii="Verdana" w:hAnsi="Verdana"/>
          <w:sz w:val="22"/>
          <w:lang w:val="es-ES"/>
        </w:rPr>
        <w:t xml:space="preserve">Como </w:t>
      </w:r>
      <w:r w:rsidR="00A744DD">
        <w:rPr>
          <w:rFonts w:ascii="Verdana" w:hAnsi="Verdana"/>
          <w:sz w:val="22"/>
          <w:lang w:val="es-ES"/>
        </w:rPr>
        <w:t>has</w:t>
      </w:r>
      <w:r>
        <w:rPr>
          <w:rFonts w:ascii="Verdana" w:hAnsi="Verdana"/>
          <w:sz w:val="22"/>
          <w:lang w:val="es-ES"/>
        </w:rPr>
        <w:t xml:space="preserve"> observado, </w:t>
      </w:r>
      <w:r w:rsidR="001A3CDF">
        <w:rPr>
          <w:rFonts w:ascii="Verdana" w:hAnsi="Verdana"/>
          <w:sz w:val="22"/>
          <w:lang w:val="es-ES"/>
        </w:rPr>
        <w:t>l</w:t>
      </w:r>
      <w:r w:rsidR="001A3CDF" w:rsidRPr="001A3CDF">
        <w:rPr>
          <w:rFonts w:ascii="Verdana" w:hAnsi="Verdana"/>
          <w:sz w:val="22"/>
          <w:lang w:val="es-MX"/>
        </w:rPr>
        <w:t>a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 xml:space="preserve">alergia alimentaria representa un problema de salud significativo, afectando a un porcentaje considerable de la población, especialmente a </w:t>
      </w:r>
      <w:r w:rsidR="00C5006D">
        <w:rPr>
          <w:rFonts w:ascii="Verdana" w:hAnsi="Verdana"/>
          <w:sz w:val="22"/>
          <w:lang w:val="es-MX"/>
        </w:rPr>
        <w:t xml:space="preserve">niñas o </w:t>
      </w:r>
      <w:r w:rsidR="001A3CDF" w:rsidRPr="001A3CDF">
        <w:rPr>
          <w:rFonts w:ascii="Verdana" w:hAnsi="Verdana"/>
          <w:sz w:val="22"/>
          <w:lang w:val="es-MX"/>
        </w:rPr>
        <w:t>niños. La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>
        <w:rPr>
          <w:rFonts w:ascii="Verdana" w:hAnsi="Verdana"/>
          <w:sz w:val="22"/>
          <w:lang w:val="es-MX"/>
        </w:rPr>
        <w:t>OIT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 xml:space="preserve">ha demostrado ser una opción prometedora para aumentar el umbral de reacción a alérgenos comunes como el </w:t>
      </w:r>
      <w:r w:rsidR="00A744DD">
        <w:rPr>
          <w:rFonts w:ascii="Verdana" w:hAnsi="Verdana"/>
          <w:sz w:val="22"/>
          <w:lang w:val="es-MX"/>
        </w:rPr>
        <w:t>cac</w:t>
      </w:r>
      <w:r w:rsidR="004140AA">
        <w:rPr>
          <w:rFonts w:ascii="Verdana" w:hAnsi="Verdana"/>
          <w:sz w:val="22"/>
          <w:lang w:val="es-MX"/>
        </w:rPr>
        <w:t>a</w:t>
      </w:r>
      <w:r w:rsidR="00A744DD">
        <w:rPr>
          <w:rFonts w:ascii="Verdana" w:hAnsi="Verdana"/>
          <w:sz w:val="22"/>
          <w:lang w:val="es-MX"/>
        </w:rPr>
        <w:t>huate</w:t>
      </w:r>
      <w:r w:rsidR="001A3CDF" w:rsidRPr="001A3CDF">
        <w:rPr>
          <w:rFonts w:ascii="Verdana" w:hAnsi="Verdana"/>
          <w:sz w:val="22"/>
          <w:lang w:val="es-MX"/>
        </w:rPr>
        <w:t>, la leche y el huevo</w:t>
      </w:r>
      <w:r w:rsidR="00C5006D">
        <w:rPr>
          <w:rFonts w:ascii="Verdana" w:hAnsi="Verdana"/>
          <w:sz w:val="22"/>
          <w:lang w:val="es-MX"/>
        </w:rPr>
        <w:t>; n</w:t>
      </w:r>
      <w:r w:rsidR="00A56728">
        <w:rPr>
          <w:rFonts w:ascii="Verdana" w:hAnsi="Verdana"/>
          <w:sz w:val="22"/>
          <w:lang w:val="es-MX"/>
        </w:rPr>
        <w:t>o obstante</w:t>
      </w:r>
      <w:r w:rsidR="001A3CDF" w:rsidRPr="001A3CDF">
        <w:rPr>
          <w:rFonts w:ascii="Verdana" w:hAnsi="Verdana"/>
          <w:sz w:val="22"/>
          <w:lang w:val="es-MX"/>
        </w:rPr>
        <w:t>, su capacidad para inducir una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tolerancia sostenida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es limitada y está asociada con un mayor riesgo de eventos adversos. La elecci</w:t>
      </w:r>
      <w:r w:rsidR="00A56728">
        <w:rPr>
          <w:rFonts w:ascii="Verdana" w:hAnsi="Verdana"/>
          <w:sz w:val="22"/>
          <w:lang w:val="es-MX"/>
        </w:rPr>
        <w:t>ón de la vía de administración —</w:t>
      </w:r>
      <w:r w:rsidR="001A3CDF" w:rsidRPr="001A3CDF">
        <w:rPr>
          <w:rFonts w:ascii="Verdana" w:hAnsi="Verdana"/>
          <w:sz w:val="22"/>
          <w:lang w:val="es-MX"/>
        </w:rPr>
        <w:t>oral, subl</w:t>
      </w:r>
      <w:r w:rsidR="00A56728">
        <w:rPr>
          <w:rFonts w:ascii="Verdana" w:hAnsi="Verdana"/>
          <w:sz w:val="22"/>
          <w:lang w:val="es-MX"/>
        </w:rPr>
        <w:t>ingual, epicutánea o subcutánea—</w:t>
      </w:r>
      <w:r w:rsidR="001A3CDF" w:rsidRPr="001A3CDF">
        <w:rPr>
          <w:rFonts w:ascii="Verdana" w:hAnsi="Verdana"/>
          <w:sz w:val="22"/>
          <w:lang w:val="es-MX"/>
        </w:rPr>
        <w:t xml:space="preserve"> debe considerar tanto la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efectividad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como el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perfil de seguridad, siendo la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>
        <w:rPr>
          <w:rFonts w:ascii="Verdana" w:hAnsi="Verdana"/>
          <w:sz w:val="22"/>
          <w:lang w:val="es-MX"/>
        </w:rPr>
        <w:t>OIT</w:t>
      </w:r>
      <w:r w:rsidR="001A3CDF" w:rsidRPr="001A3CDF">
        <w:rPr>
          <w:rFonts w:ascii="Verdana" w:hAnsi="Verdana"/>
          <w:sz w:val="22"/>
          <w:lang w:val="es-MX"/>
        </w:rPr>
        <w:t> y la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94133D">
        <w:rPr>
          <w:rFonts w:ascii="Verdana" w:hAnsi="Verdana"/>
          <w:sz w:val="22"/>
          <w:lang w:val="es-MX"/>
        </w:rPr>
        <w:t>EPIT</w:t>
      </w:r>
      <w:r w:rsidR="00C5006D">
        <w:rPr>
          <w:rFonts w:ascii="Verdana" w:hAnsi="Verdana"/>
          <w:sz w:val="22"/>
          <w:lang w:val="es-MX"/>
        </w:rPr>
        <w:t xml:space="preserve"> </w:t>
      </w:r>
      <w:r w:rsidR="001A3CDF" w:rsidRPr="001A3CDF">
        <w:rPr>
          <w:rFonts w:ascii="Verdana" w:hAnsi="Verdana"/>
          <w:sz w:val="22"/>
          <w:lang w:val="es-MX"/>
        </w:rPr>
        <w:t>las más estudiadas.</w:t>
      </w:r>
    </w:p>
    <w:p w14:paraId="4C9AB979" w14:textId="77777777" w:rsidR="001A3CDF" w:rsidRPr="001A3CDF" w:rsidRDefault="001A3CDF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</w:p>
    <w:p w14:paraId="647B644E" w14:textId="4AB6EDDF" w:rsidR="001A3CDF" w:rsidRPr="001A3CDF" w:rsidRDefault="001A3CDF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  <w:r w:rsidRPr="001A3CDF">
        <w:rPr>
          <w:rFonts w:ascii="Verdana" w:hAnsi="Verdana"/>
          <w:sz w:val="22"/>
          <w:lang w:val="es-MX"/>
        </w:rPr>
        <w:t>La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1A3CDF">
        <w:rPr>
          <w:rFonts w:ascii="Verdana" w:hAnsi="Verdana"/>
          <w:sz w:val="22"/>
          <w:lang w:val="es-MX"/>
        </w:rPr>
        <w:t>terapia biológica, en particular el uso de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1A3CDF">
        <w:rPr>
          <w:rFonts w:ascii="Verdana" w:hAnsi="Verdana"/>
          <w:sz w:val="22"/>
          <w:lang w:val="es-MX"/>
        </w:rPr>
        <w:t>anticuerpos monoclonales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1A3CDF">
        <w:rPr>
          <w:rFonts w:ascii="Verdana" w:hAnsi="Verdana"/>
          <w:sz w:val="22"/>
          <w:lang w:val="es-MX"/>
        </w:rPr>
        <w:t>como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1A3CDF">
        <w:rPr>
          <w:rFonts w:ascii="Verdana" w:hAnsi="Verdana"/>
          <w:sz w:val="22"/>
          <w:lang w:val="es-MX"/>
        </w:rPr>
        <w:t>omalizumab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1A3CDF">
        <w:rPr>
          <w:rFonts w:ascii="Verdana" w:hAnsi="Verdana"/>
          <w:sz w:val="22"/>
          <w:lang w:val="es-MX"/>
        </w:rPr>
        <w:t>y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1A3CDF">
        <w:rPr>
          <w:rFonts w:ascii="Verdana" w:hAnsi="Verdana"/>
          <w:sz w:val="22"/>
          <w:lang w:val="es-MX"/>
        </w:rPr>
        <w:t>talizumab, ofrece una alternativa innovadora para el tratamiento de la alergia a</w:t>
      </w:r>
      <w:r w:rsidR="009C215D">
        <w:rPr>
          <w:rFonts w:ascii="Verdana" w:hAnsi="Verdana"/>
          <w:sz w:val="22"/>
          <w:lang w:val="es-MX"/>
        </w:rPr>
        <w:t>limentaria. Estos fármacos no só</w:t>
      </w:r>
      <w:r w:rsidRPr="001A3CDF">
        <w:rPr>
          <w:rFonts w:ascii="Verdana" w:hAnsi="Verdana"/>
          <w:sz w:val="22"/>
          <w:lang w:val="es-MX"/>
        </w:rPr>
        <w:t xml:space="preserve">lo complementan la </w:t>
      </w:r>
      <w:r w:rsidR="00933A82">
        <w:rPr>
          <w:rFonts w:ascii="Verdana" w:hAnsi="Verdana"/>
          <w:sz w:val="22"/>
          <w:lang w:val="es-MX"/>
        </w:rPr>
        <w:t>OIT</w:t>
      </w:r>
      <w:r w:rsidRPr="001A3CDF">
        <w:rPr>
          <w:rFonts w:ascii="Verdana" w:hAnsi="Verdana"/>
          <w:sz w:val="22"/>
          <w:lang w:val="es-MX"/>
        </w:rPr>
        <w:t>, sino que también pueden reducir el riesgo de reacciones alérgicas, especialmente en casos de exposiciones accidentales a alérgenos.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1A3CDF">
        <w:rPr>
          <w:rFonts w:ascii="Verdana" w:hAnsi="Verdana"/>
          <w:sz w:val="22"/>
          <w:lang w:val="es-MX"/>
        </w:rPr>
        <w:t>Ligelizumab, un derivado de talizumab, se perfila como una opción futura prometedora debido a su alta afinidad y potencia en la supresión de la vía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1A3CDF">
        <w:rPr>
          <w:rFonts w:ascii="Verdana" w:hAnsi="Verdana"/>
          <w:sz w:val="22"/>
          <w:lang w:val="es-MX"/>
        </w:rPr>
        <w:t>IgE/FcεRI.</w:t>
      </w:r>
    </w:p>
    <w:p w14:paraId="3BB18890" w14:textId="77777777" w:rsidR="001A3CDF" w:rsidRPr="001A3CDF" w:rsidRDefault="001A3CDF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</w:p>
    <w:p w14:paraId="2A3F247E" w14:textId="329C13A9" w:rsidR="00933A82" w:rsidRDefault="00933A82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  <w:r w:rsidRPr="00933A82">
        <w:rPr>
          <w:rFonts w:ascii="Verdana" w:hAnsi="Verdana"/>
          <w:sz w:val="22"/>
          <w:lang w:val="es-MX"/>
        </w:rPr>
        <w:t xml:space="preserve">Aunque las terapias actuales, como la OIT y la terapia anti-IgE, ofrecen beneficios significativos, es fundamental </w:t>
      </w:r>
      <w:r w:rsidRPr="00636511">
        <w:rPr>
          <w:rFonts w:ascii="Verdana" w:hAnsi="Verdana"/>
          <w:b/>
          <w:bCs/>
          <w:sz w:val="22"/>
          <w:lang w:val="es-MX"/>
        </w:rPr>
        <w:t>evaluar de manera</w:t>
      </w:r>
      <w:r w:rsidR="00C5006D">
        <w:rPr>
          <w:rFonts w:ascii="Verdana" w:hAnsi="Verdana"/>
          <w:b/>
          <w:bCs/>
          <w:sz w:val="22"/>
          <w:lang w:val="es-MX"/>
        </w:rPr>
        <w:t xml:space="preserve"> </w:t>
      </w:r>
      <w:r w:rsidRPr="00636511">
        <w:rPr>
          <w:rFonts w:ascii="Verdana" w:hAnsi="Verdana"/>
          <w:b/>
          <w:bCs/>
          <w:sz w:val="22"/>
          <w:lang w:val="es-MX"/>
        </w:rPr>
        <w:t>individualizada</w:t>
      </w:r>
      <w:r w:rsidR="00C5006D">
        <w:rPr>
          <w:rFonts w:ascii="Verdana" w:hAnsi="Verdana"/>
          <w:b/>
          <w:bCs/>
          <w:sz w:val="22"/>
          <w:lang w:val="es-MX"/>
        </w:rPr>
        <w:t xml:space="preserve"> </w:t>
      </w:r>
      <w:r w:rsidRPr="00636511">
        <w:rPr>
          <w:rFonts w:ascii="Verdana" w:hAnsi="Verdana"/>
          <w:b/>
          <w:bCs/>
          <w:sz w:val="22"/>
          <w:lang w:val="es-MX"/>
        </w:rPr>
        <w:t>a cada paciente</w:t>
      </w:r>
      <w:r w:rsidRPr="00933A82">
        <w:rPr>
          <w:rFonts w:ascii="Verdana" w:hAnsi="Verdana"/>
          <w:sz w:val="22"/>
          <w:lang w:val="es-MX"/>
        </w:rPr>
        <w:t>, priorizando su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933A82">
        <w:rPr>
          <w:rFonts w:ascii="Verdana" w:hAnsi="Verdana"/>
          <w:sz w:val="22"/>
          <w:lang w:val="es-MX"/>
        </w:rPr>
        <w:t>seguridad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933A82">
        <w:rPr>
          <w:rFonts w:ascii="Verdana" w:hAnsi="Verdana"/>
          <w:sz w:val="22"/>
          <w:lang w:val="es-MX"/>
        </w:rPr>
        <w:t>y manteniendo una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933A82">
        <w:rPr>
          <w:rFonts w:ascii="Verdana" w:hAnsi="Verdana"/>
          <w:sz w:val="22"/>
          <w:lang w:val="es-MX"/>
        </w:rPr>
        <w:t xml:space="preserve">vigilancia </w:t>
      </w:r>
      <w:r w:rsidRPr="00933A82">
        <w:rPr>
          <w:rFonts w:ascii="Verdana" w:hAnsi="Verdana"/>
          <w:sz w:val="22"/>
          <w:lang w:val="es-MX"/>
        </w:rPr>
        <w:lastRenderedPageBreak/>
        <w:t>estrecha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933A82">
        <w:rPr>
          <w:rFonts w:ascii="Verdana" w:hAnsi="Verdana"/>
          <w:sz w:val="22"/>
          <w:lang w:val="es-MX"/>
        </w:rPr>
        <w:t>por parte de especialistas en alergias. El manejo integral debe combinar la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933A82">
        <w:rPr>
          <w:rFonts w:ascii="Verdana" w:hAnsi="Verdana"/>
          <w:sz w:val="22"/>
          <w:lang w:val="es-MX"/>
        </w:rPr>
        <w:t>evitación de alérgenos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933A82">
        <w:rPr>
          <w:rFonts w:ascii="Verdana" w:hAnsi="Verdana"/>
          <w:sz w:val="22"/>
          <w:lang w:val="es-MX"/>
        </w:rPr>
        <w:t>con el</w:t>
      </w:r>
      <w:r w:rsidR="00C5006D">
        <w:rPr>
          <w:rFonts w:ascii="Verdana" w:hAnsi="Verdana"/>
          <w:sz w:val="22"/>
          <w:lang w:val="es-MX"/>
        </w:rPr>
        <w:t xml:space="preserve"> </w:t>
      </w:r>
      <w:r w:rsidRPr="00933A82">
        <w:rPr>
          <w:rFonts w:ascii="Verdana" w:hAnsi="Verdana"/>
          <w:sz w:val="22"/>
          <w:lang w:val="es-MX"/>
        </w:rPr>
        <w:t>apoyo nutricional, mientras se exploran nuevas alternativas terapéuticas para mejorar la calidad de vida de los pacientes con alergia alimentaria.</w:t>
      </w:r>
    </w:p>
    <w:p w14:paraId="4C3E64BD" w14:textId="77777777" w:rsidR="00933A82" w:rsidRPr="00933A82" w:rsidRDefault="00933A82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</w:p>
    <w:p w14:paraId="0BE78102" w14:textId="63833D95" w:rsidR="00815D98" w:rsidRPr="00933A82" w:rsidRDefault="009070A2" w:rsidP="00DF4AEE">
      <w:pPr>
        <w:spacing w:after="0" w:line="240" w:lineRule="auto"/>
        <w:rPr>
          <w:rFonts w:ascii="Verdana" w:hAnsi="Verdana"/>
          <w:b/>
          <w:bCs/>
          <w:sz w:val="22"/>
          <w:lang w:val="es-ES"/>
        </w:rPr>
      </w:pPr>
      <w:r w:rsidRPr="00933A82">
        <w:rPr>
          <w:rFonts w:ascii="Verdana" w:hAnsi="Verdana"/>
          <w:b/>
          <w:bCs/>
          <w:sz w:val="22"/>
          <w:lang w:val="es-ES"/>
        </w:rPr>
        <w:t>Fuentes de información</w:t>
      </w:r>
    </w:p>
    <w:p w14:paraId="4B4CE645" w14:textId="77777777" w:rsidR="00815D98" w:rsidRDefault="00815D98" w:rsidP="00DF4AEE">
      <w:pPr>
        <w:spacing w:after="0" w:line="240" w:lineRule="auto"/>
        <w:rPr>
          <w:rFonts w:ascii="Verdana" w:hAnsi="Verdana"/>
          <w:sz w:val="22"/>
          <w:lang w:val="es-ES"/>
        </w:rPr>
      </w:pPr>
    </w:p>
    <w:p w14:paraId="09CE1A66" w14:textId="5BE86005" w:rsidR="00F24D61" w:rsidRPr="00F24D61" w:rsidRDefault="00F24D61" w:rsidP="00DF4AEE">
      <w:pPr>
        <w:spacing w:after="0" w:line="240" w:lineRule="auto"/>
        <w:rPr>
          <w:rFonts w:ascii="Verdana" w:hAnsi="Verdana"/>
          <w:i/>
          <w:iCs/>
          <w:sz w:val="22"/>
          <w:lang w:val="es-ES"/>
        </w:rPr>
      </w:pPr>
      <w:r w:rsidRPr="00F24D61">
        <w:rPr>
          <w:rFonts w:ascii="Verdana" w:hAnsi="Verdana"/>
          <w:i/>
          <w:iCs/>
          <w:sz w:val="22"/>
          <w:lang w:val="es-ES"/>
        </w:rPr>
        <w:t>Documentos electrónicos</w:t>
      </w:r>
    </w:p>
    <w:p w14:paraId="4E9E16FE" w14:textId="77777777" w:rsidR="00F24D61" w:rsidRPr="00790A5A" w:rsidRDefault="00F24D61" w:rsidP="00DF4AEE">
      <w:pPr>
        <w:spacing w:after="0" w:line="240" w:lineRule="auto"/>
        <w:rPr>
          <w:rFonts w:ascii="Verdana" w:hAnsi="Verdana"/>
          <w:sz w:val="22"/>
          <w:lang w:val="es-ES"/>
        </w:rPr>
      </w:pPr>
    </w:p>
    <w:p w14:paraId="0794EB49" w14:textId="7A159449" w:rsidR="00826FC0" w:rsidRPr="00E6692E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E6692E">
        <w:rPr>
          <w:rFonts w:ascii="Verdana" w:hAnsi="Verdana"/>
          <w:sz w:val="22"/>
          <w:lang w:val="es-MX"/>
        </w:rPr>
        <w:t>Aceves, S. S., Dellon, E. S., Greenhawt, M</w:t>
      </w:r>
      <w:r w:rsidR="008B4C4C">
        <w:rPr>
          <w:rFonts w:ascii="Verdana" w:hAnsi="Verdana"/>
          <w:sz w:val="22"/>
          <w:lang w:val="es-MX"/>
        </w:rPr>
        <w:t>., Hirano, I., Liacouras, C. A. y</w:t>
      </w:r>
      <w:r w:rsidRPr="00E6692E">
        <w:rPr>
          <w:rFonts w:ascii="Verdana" w:hAnsi="Verdana"/>
          <w:sz w:val="22"/>
          <w:lang w:val="es-MX"/>
        </w:rPr>
        <w:t xml:space="preserve"> Spergel, J. M.</w:t>
      </w:r>
      <w:r w:rsidRPr="00DF4AEE">
        <w:rPr>
          <w:rFonts w:ascii="Verdana" w:hAnsi="Verdana"/>
          <w:sz w:val="22"/>
          <w:lang w:val="es-MX"/>
        </w:rPr>
        <w:t xml:space="preserve"> (2023</w:t>
      </w:r>
      <w:r w:rsidR="008B4C4C" w:rsidRPr="00DF4AEE">
        <w:rPr>
          <w:rFonts w:ascii="Verdana" w:hAnsi="Verdana"/>
          <w:sz w:val="22"/>
          <w:lang w:val="es-MX"/>
        </w:rPr>
        <w:t>, marzo</w:t>
      </w:r>
      <w:r w:rsidRPr="00DF4AEE">
        <w:rPr>
          <w:rFonts w:ascii="Verdana" w:hAnsi="Verdana"/>
          <w:sz w:val="22"/>
          <w:lang w:val="es-MX"/>
        </w:rPr>
        <w:t xml:space="preserve">). </w:t>
      </w:r>
      <w:r w:rsidRPr="00E6692E">
        <w:rPr>
          <w:rFonts w:ascii="Verdana" w:hAnsi="Verdana"/>
          <w:sz w:val="22"/>
        </w:rPr>
        <w:t>Clinical guidance for the use of dupilumab in eosinophilic esophagitis.</w:t>
      </w:r>
      <w:r w:rsidR="008A2C51">
        <w:rPr>
          <w:rFonts w:ascii="Verdana" w:hAnsi="Verdana"/>
          <w:sz w:val="22"/>
        </w:rPr>
        <w:t xml:space="preserve"> </w:t>
      </w:r>
      <w:r w:rsidR="008B4C4C">
        <w:rPr>
          <w:rFonts w:ascii="Verdana" w:hAnsi="Verdana"/>
          <w:i/>
          <w:iCs/>
          <w:sz w:val="22"/>
        </w:rPr>
        <w:t>Annals of Allergy, Asthma and</w:t>
      </w:r>
      <w:r w:rsidRPr="00E6692E">
        <w:rPr>
          <w:rFonts w:ascii="Verdana" w:hAnsi="Verdana"/>
          <w:i/>
          <w:iCs/>
          <w:sz w:val="22"/>
        </w:rPr>
        <w:t xml:space="preserve"> Immunology</w:t>
      </w:r>
      <w:r w:rsidRPr="00E6692E">
        <w:rPr>
          <w:rFonts w:ascii="Verdana" w:hAnsi="Verdana"/>
          <w:sz w:val="22"/>
        </w:rPr>
        <w:t>,</w:t>
      </w:r>
      <w:r w:rsidR="008A2C51">
        <w:rPr>
          <w:rFonts w:ascii="Verdana" w:hAnsi="Verdana"/>
          <w:sz w:val="22"/>
        </w:rPr>
        <w:t xml:space="preserve"> </w:t>
      </w:r>
      <w:r w:rsidRPr="00E6692E">
        <w:rPr>
          <w:rFonts w:ascii="Verdana" w:hAnsi="Verdana"/>
          <w:i/>
          <w:iCs/>
          <w:sz w:val="22"/>
        </w:rPr>
        <w:t>130</w:t>
      </w:r>
      <w:r w:rsidRPr="00E6692E">
        <w:rPr>
          <w:rFonts w:ascii="Verdana" w:hAnsi="Verdana"/>
          <w:sz w:val="22"/>
        </w:rPr>
        <w:t>(3), 371</w:t>
      </w:r>
      <w:r w:rsidR="008A2C51">
        <w:rPr>
          <w:rFonts w:ascii="Verdana" w:hAnsi="Verdana"/>
          <w:sz w:val="22"/>
        </w:rPr>
        <w:t>-</w:t>
      </w:r>
      <w:r w:rsidRPr="00E6692E">
        <w:rPr>
          <w:rFonts w:ascii="Verdana" w:hAnsi="Verdana"/>
          <w:sz w:val="22"/>
        </w:rPr>
        <w:t>378.</w:t>
      </w:r>
      <w:r w:rsidR="008A2C51">
        <w:rPr>
          <w:rFonts w:ascii="Verdana" w:hAnsi="Verdana"/>
          <w:sz w:val="22"/>
        </w:rPr>
        <w:t xml:space="preserve"> </w:t>
      </w:r>
      <w:hyperlink r:id="rId8" w:history="1">
        <w:r w:rsidR="008A2C51" w:rsidRPr="00417B8E">
          <w:rPr>
            <w:rStyle w:val="Hipervnculo"/>
            <w:rFonts w:ascii="Verdana" w:hAnsi="Verdana"/>
            <w:sz w:val="22"/>
          </w:rPr>
          <w:t>https://doi.org/10.1016/j.anai.2022.12.014</w:t>
        </w:r>
      </w:hyperlink>
    </w:p>
    <w:p w14:paraId="771302FE" w14:textId="77777777" w:rsidR="00826FC0" w:rsidRPr="00826FC0" w:rsidRDefault="00826FC0" w:rsidP="00DF4AEE">
      <w:pPr>
        <w:spacing w:after="0" w:line="240" w:lineRule="auto"/>
        <w:jc w:val="both"/>
        <w:rPr>
          <w:sz w:val="22"/>
        </w:rPr>
      </w:pPr>
    </w:p>
    <w:p w14:paraId="70164252" w14:textId="65AC9824" w:rsidR="00826FC0" w:rsidRPr="00F24D61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DF4AEE">
        <w:rPr>
          <w:rFonts w:ascii="Verdana" w:hAnsi="Verdana"/>
          <w:sz w:val="22"/>
          <w:lang w:val="es-MX"/>
        </w:rPr>
        <w:t>Aru</w:t>
      </w:r>
      <w:r w:rsidR="008B4C4C" w:rsidRPr="00DF4AEE">
        <w:rPr>
          <w:rFonts w:ascii="Verdana" w:hAnsi="Verdana"/>
          <w:sz w:val="22"/>
          <w:lang w:val="es-MX"/>
        </w:rPr>
        <w:t>anno, A., Urbani, S., Frati, F. y</w:t>
      </w:r>
      <w:r w:rsidRPr="00DF4AEE">
        <w:rPr>
          <w:rFonts w:ascii="Verdana" w:hAnsi="Verdana"/>
          <w:sz w:val="22"/>
          <w:lang w:val="es-MX"/>
        </w:rPr>
        <w:t xml:space="preserve"> Nucera, E. (2020</w:t>
      </w:r>
      <w:r w:rsidR="008B4C4C" w:rsidRPr="00DF4AEE">
        <w:rPr>
          <w:rFonts w:ascii="Verdana" w:hAnsi="Verdana"/>
          <w:sz w:val="22"/>
          <w:lang w:val="es-MX"/>
        </w:rPr>
        <w:t>, noviembre-diciembre</w:t>
      </w:r>
      <w:r w:rsidRPr="00DF4AEE">
        <w:rPr>
          <w:rFonts w:ascii="Verdana" w:hAnsi="Verdana"/>
          <w:sz w:val="22"/>
          <w:lang w:val="es-MX"/>
        </w:rPr>
        <w:t xml:space="preserve">). </w:t>
      </w:r>
      <w:r w:rsidRPr="009D3613">
        <w:rPr>
          <w:rFonts w:ascii="Verdana" w:hAnsi="Verdana"/>
          <w:sz w:val="22"/>
        </w:rPr>
        <w:t>LTP allergy/sensitization in a pediatric population.</w:t>
      </w:r>
      <w:r w:rsidR="008A2C51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Allergologia et Immunopathologia</w:t>
      </w:r>
      <w:r w:rsidRPr="009D3613">
        <w:rPr>
          <w:rFonts w:ascii="Verdana" w:hAnsi="Verdana"/>
          <w:sz w:val="22"/>
        </w:rPr>
        <w:t>,</w:t>
      </w:r>
      <w:r w:rsidR="008A2C51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48</w:t>
      </w:r>
      <w:r w:rsidRPr="009D3613">
        <w:rPr>
          <w:rFonts w:ascii="Verdana" w:hAnsi="Verdana"/>
          <w:sz w:val="22"/>
        </w:rPr>
        <w:t>(6), 763</w:t>
      </w:r>
      <w:r w:rsidR="008A2C51">
        <w:rPr>
          <w:rFonts w:ascii="Verdana" w:hAnsi="Verdana"/>
          <w:sz w:val="22"/>
        </w:rPr>
        <w:t>-</w:t>
      </w:r>
      <w:r w:rsidRPr="009D3613">
        <w:rPr>
          <w:rFonts w:ascii="Verdana" w:hAnsi="Verdana"/>
          <w:sz w:val="22"/>
        </w:rPr>
        <w:t>770.</w:t>
      </w:r>
      <w:r w:rsidR="008A2C51">
        <w:rPr>
          <w:rFonts w:ascii="Verdana" w:hAnsi="Verdana"/>
          <w:sz w:val="22"/>
        </w:rPr>
        <w:t xml:space="preserve"> </w:t>
      </w:r>
      <w:hyperlink r:id="rId9" w:history="1">
        <w:r w:rsidR="008A2C51" w:rsidRPr="00417B8E">
          <w:rPr>
            <w:rStyle w:val="Hipervnculo"/>
            <w:rFonts w:ascii="Verdana" w:hAnsi="Verdana"/>
            <w:sz w:val="22"/>
          </w:rPr>
          <w:t>https://doi.org/10.1016/j.aller.2020.03.004</w:t>
        </w:r>
      </w:hyperlink>
    </w:p>
    <w:p w14:paraId="20FB2DAA" w14:textId="77777777" w:rsidR="00826FC0" w:rsidRPr="00F24D61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</w:p>
    <w:p w14:paraId="5F139F8F" w14:textId="725E40C2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9D3613">
        <w:rPr>
          <w:rFonts w:ascii="Verdana" w:hAnsi="Verdana"/>
          <w:sz w:val="22"/>
        </w:rPr>
        <w:t xml:space="preserve">Burks, A. W., Jones, S. M., Wood, R. A., Fleischer, D. M., Sicherer, S. H., Lindblad, R. W., </w:t>
      </w:r>
      <w:r w:rsidR="008B4C4C">
        <w:rPr>
          <w:rFonts w:ascii="Verdana" w:hAnsi="Verdana"/>
          <w:sz w:val="22"/>
        </w:rPr>
        <w:t>Stablein, D., Henning, A. K., Vickery, B. P., Andrew, M. D., Liu, H., Scurlock, A. M., Shreffler, W. G., Plaut, M. y</w:t>
      </w:r>
      <w:r w:rsidRPr="009D3613">
        <w:rPr>
          <w:rFonts w:ascii="Verdana" w:hAnsi="Verdana"/>
          <w:sz w:val="22"/>
        </w:rPr>
        <w:t xml:space="preserve"> Sampson, H. A. (2012</w:t>
      </w:r>
      <w:r w:rsidR="008B4C4C">
        <w:rPr>
          <w:rFonts w:ascii="Verdana" w:hAnsi="Verdana"/>
          <w:sz w:val="22"/>
        </w:rPr>
        <w:t>, 19 de julio</w:t>
      </w:r>
      <w:r w:rsidRPr="009D3613">
        <w:rPr>
          <w:rFonts w:ascii="Verdana" w:hAnsi="Verdana"/>
          <w:sz w:val="22"/>
        </w:rPr>
        <w:t>). Oral immunotherapy for treatment of egg allergy in children.</w:t>
      </w:r>
      <w:r w:rsidR="008A2C51">
        <w:rPr>
          <w:rFonts w:ascii="Verdana" w:hAnsi="Verdana"/>
          <w:sz w:val="22"/>
        </w:rPr>
        <w:t xml:space="preserve"> </w:t>
      </w:r>
      <w:r w:rsidR="008A2C51">
        <w:rPr>
          <w:rFonts w:ascii="Verdana" w:hAnsi="Verdana"/>
          <w:i/>
          <w:iCs/>
          <w:sz w:val="22"/>
        </w:rPr>
        <w:t xml:space="preserve">The </w:t>
      </w:r>
      <w:r w:rsidRPr="009D3613">
        <w:rPr>
          <w:rFonts w:ascii="Verdana" w:hAnsi="Verdana"/>
          <w:i/>
          <w:iCs/>
          <w:sz w:val="22"/>
        </w:rPr>
        <w:t>New England Journal of Medicine</w:t>
      </w:r>
      <w:r w:rsidRPr="009D3613">
        <w:rPr>
          <w:rFonts w:ascii="Verdana" w:hAnsi="Verdana"/>
          <w:sz w:val="22"/>
        </w:rPr>
        <w:t>,</w:t>
      </w:r>
      <w:r w:rsidR="008A2C51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367</w:t>
      </w:r>
      <w:r w:rsidRPr="009D3613">
        <w:rPr>
          <w:rFonts w:ascii="Verdana" w:hAnsi="Verdana"/>
          <w:sz w:val="22"/>
        </w:rPr>
        <w:t>(3), 233</w:t>
      </w:r>
      <w:r w:rsidR="008A2C51">
        <w:rPr>
          <w:rFonts w:ascii="Verdana" w:hAnsi="Verdana"/>
          <w:sz w:val="22"/>
        </w:rPr>
        <w:t>-</w:t>
      </w:r>
      <w:r w:rsidRPr="009D3613">
        <w:rPr>
          <w:rFonts w:ascii="Verdana" w:hAnsi="Verdana"/>
          <w:sz w:val="22"/>
        </w:rPr>
        <w:t>243.</w:t>
      </w:r>
      <w:r w:rsidR="008A2C51">
        <w:rPr>
          <w:rFonts w:ascii="Verdana" w:hAnsi="Verdana"/>
          <w:sz w:val="22"/>
        </w:rPr>
        <w:t xml:space="preserve"> </w:t>
      </w:r>
      <w:hyperlink r:id="rId10" w:history="1">
        <w:r w:rsidR="008A2C51" w:rsidRPr="00417B8E">
          <w:rPr>
            <w:rStyle w:val="Hipervnculo"/>
            <w:rFonts w:ascii="Verdana" w:hAnsi="Verdana"/>
            <w:sz w:val="22"/>
          </w:rPr>
          <w:t>https://doi.org/10.1056/NEJMoa1200435</w:t>
        </w:r>
      </w:hyperlink>
    </w:p>
    <w:p w14:paraId="0EDD11C3" w14:textId="77777777" w:rsidR="00826FC0" w:rsidRPr="009D3613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</w:p>
    <w:p w14:paraId="51FF0D07" w14:textId="0398C59C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9D3613">
        <w:rPr>
          <w:rFonts w:ascii="Verdana" w:hAnsi="Verdana"/>
          <w:sz w:val="22"/>
        </w:rPr>
        <w:t>Chehade, M. (2020</w:t>
      </w:r>
      <w:r w:rsidR="000371C8">
        <w:rPr>
          <w:rFonts w:ascii="Verdana" w:hAnsi="Verdana"/>
          <w:sz w:val="22"/>
        </w:rPr>
        <w:t>, marzo</w:t>
      </w:r>
      <w:r w:rsidRPr="009D3613">
        <w:rPr>
          <w:rFonts w:ascii="Verdana" w:hAnsi="Verdana"/>
          <w:sz w:val="22"/>
        </w:rPr>
        <w:t>). Eosinophil</w:t>
      </w:r>
      <w:r w:rsidR="000371C8">
        <w:rPr>
          <w:rFonts w:ascii="Verdana" w:hAnsi="Verdana"/>
          <w:sz w:val="22"/>
        </w:rPr>
        <w:t>ic gastrointestinal disorders: t</w:t>
      </w:r>
      <w:r w:rsidRPr="009D3613">
        <w:rPr>
          <w:rFonts w:ascii="Verdana" w:hAnsi="Verdana"/>
          <w:sz w:val="22"/>
        </w:rPr>
        <w:t>he journey to diagnosis remains arduous.</w:t>
      </w:r>
      <w:r w:rsidR="008A2C51">
        <w:rPr>
          <w:rFonts w:ascii="Verdana" w:hAnsi="Verdana"/>
          <w:sz w:val="22"/>
        </w:rPr>
        <w:t xml:space="preserve"> </w:t>
      </w:r>
      <w:r w:rsidR="000371C8">
        <w:rPr>
          <w:rFonts w:ascii="Verdana" w:hAnsi="Verdana"/>
          <w:i/>
          <w:iCs/>
          <w:sz w:val="22"/>
        </w:rPr>
        <w:t>Annals of Allergy, Asthma and</w:t>
      </w:r>
      <w:r w:rsidRPr="009D3613">
        <w:rPr>
          <w:rFonts w:ascii="Verdana" w:hAnsi="Verdana"/>
          <w:i/>
          <w:iCs/>
          <w:sz w:val="22"/>
        </w:rPr>
        <w:t xml:space="preserve"> Immunology</w:t>
      </w:r>
      <w:r w:rsidRPr="009D3613">
        <w:rPr>
          <w:rFonts w:ascii="Verdana" w:hAnsi="Verdana"/>
          <w:sz w:val="22"/>
        </w:rPr>
        <w:t>,</w:t>
      </w:r>
      <w:r w:rsidR="008A2C51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124</w:t>
      </w:r>
      <w:r w:rsidRPr="009D3613">
        <w:rPr>
          <w:rFonts w:ascii="Verdana" w:hAnsi="Verdana"/>
          <w:sz w:val="22"/>
        </w:rPr>
        <w:t>(3), 229</w:t>
      </w:r>
      <w:r w:rsidR="008A2C51">
        <w:rPr>
          <w:rFonts w:ascii="Verdana" w:hAnsi="Verdana"/>
          <w:sz w:val="22"/>
        </w:rPr>
        <w:t>-</w:t>
      </w:r>
      <w:r w:rsidRPr="009D3613">
        <w:rPr>
          <w:rFonts w:ascii="Verdana" w:hAnsi="Verdana"/>
          <w:sz w:val="22"/>
        </w:rPr>
        <w:t>230.</w:t>
      </w:r>
      <w:r w:rsidR="008A2C51">
        <w:rPr>
          <w:rFonts w:ascii="Verdana" w:hAnsi="Verdana"/>
          <w:sz w:val="22"/>
        </w:rPr>
        <w:t xml:space="preserve"> </w:t>
      </w:r>
      <w:hyperlink r:id="rId11" w:history="1">
        <w:r w:rsidR="008A2C51" w:rsidRPr="00417B8E">
          <w:rPr>
            <w:rStyle w:val="Hipervnculo"/>
            <w:rFonts w:ascii="Verdana" w:hAnsi="Verdana"/>
            <w:sz w:val="22"/>
          </w:rPr>
          <w:t>https://doi.org/10.1016/j.anai.2019.09.011</w:t>
        </w:r>
      </w:hyperlink>
    </w:p>
    <w:p w14:paraId="40A39F4F" w14:textId="77777777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</w:p>
    <w:p w14:paraId="60236467" w14:textId="4310FEA6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850578">
        <w:rPr>
          <w:rFonts w:ascii="Verdana" w:hAnsi="Verdana"/>
          <w:sz w:val="22"/>
          <w:lang w:val="es-MX"/>
        </w:rPr>
        <w:t>De Bortoli, N., Visaggi, P., Penagini, R., Annibale, B., Baiano, F., Barbara, G.,</w:t>
      </w:r>
      <w:r w:rsidR="000371C8">
        <w:rPr>
          <w:rFonts w:ascii="Verdana" w:hAnsi="Verdana"/>
          <w:sz w:val="22"/>
          <w:lang w:val="es-MX"/>
        </w:rPr>
        <w:t xml:space="preserve"> Bartolo, O., Battaglia, E., Di Sabatino, A., De Angelis, P., Docimo, L., Frazzoni, M., Furnari, M., Iori, A., Iovino, P., Vincenzo, M., Marabotto, E., Marasco, G., Mauro, A. y</w:t>
      </w:r>
      <w:r w:rsidRPr="00DF4AEE">
        <w:rPr>
          <w:rFonts w:ascii="Verdana" w:hAnsi="Verdana"/>
          <w:sz w:val="22"/>
          <w:lang w:val="es-MX"/>
        </w:rPr>
        <w:t xml:space="preserve"> Savarino, E. V. (2024</w:t>
      </w:r>
      <w:r w:rsidR="000371C8" w:rsidRPr="00DF4AEE">
        <w:rPr>
          <w:rFonts w:ascii="Verdana" w:hAnsi="Verdana"/>
          <w:sz w:val="22"/>
          <w:lang w:val="es-MX"/>
        </w:rPr>
        <w:t>, julio</w:t>
      </w:r>
      <w:r w:rsidRPr="00DF4AEE">
        <w:rPr>
          <w:rFonts w:ascii="Verdana" w:hAnsi="Verdana"/>
          <w:sz w:val="22"/>
          <w:lang w:val="es-MX"/>
        </w:rPr>
        <w:t xml:space="preserve">). </w:t>
      </w:r>
      <w:r w:rsidRPr="009D3613">
        <w:rPr>
          <w:rFonts w:ascii="Verdana" w:hAnsi="Verdana"/>
          <w:sz w:val="22"/>
        </w:rPr>
        <w:t>The 1st</w:t>
      </w:r>
      <w:r w:rsidR="00D31C23">
        <w:rPr>
          <w:rFonts w:ascii="Verdana" w:hAnsi="Verdana"/>
          <w:sz w:val="22"/>
        </w:rPr>
        <w:t>.</w:t>
      </w:r>
      <w:r w:rsidRPr="009D3613">
        <w:rPr>
          <w:rFonts w:ascii="Verdana" w:hAnsi="Verdana"/>
          <w:sz w:val="22"/>
        </w:rPr>
        <w:t xml:space="preserve"> EoETALY Consensus on the Diagnosis and Management of Eosinophilic Esophagitis—Current Treatment and Monitoring.</w:t>
      </w:r>
      <w:r w:rsidR="00D31C23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Digestive and Liver Disease</w:t>
      </w:r>
      <w:r w:rsidRPr="009D3613">
        <w:rPr>
          <w:rFonts w:ascii="Verdana" w:hAnsi="Verdana"/>
          <w:sz w:val="22"/>
        </w:rPr>
        <w:t>,</w:t>
      </w:r>
      <w:r w:rsidR="00D31C23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56</w:t>
      </w:r>
      <w:r w:rsidRPr="009D3613">
        <w:rPr>
          <w:rFonts w:ascii="Verdana" w:hAnsi="Verdana"/>
          <w:sz w:val="22"/>
        </w:rPr>
        <w:t>(7), 1173</w:t>
      </w:r>
      <w:r w:rsidR="00D31C23">
        <w:rPr>
          <w:rFonts w:ascii="Verdana" w:hAnsi="Verdana"/>
          <w:sz w:val="22"/>
        </w:rPr>
        <w:t>-</w:t>
      </w:r>
      <w:r w:rsidRPr="009D3613">
        <w:rPr>
          <w:rFonts w:ascii="Verdana" w:hAnsi="Verdana"/>
          <w:sz w:val="22"/>
        </w:rPr>
        <w:t>1184.</w:t>
      </w:r>
      <w:r w:rsidR="00D31C23">
        <w:rPr>
          <w:rFonts w:ascii="Verdana" w:hAnsi="Verdana"/>
          <w:sz w:val="22"/>
        </w:rPr>
        <w:t xml:space="preserve"> </w:t>
      </w:r>
      <w:hyperlink r:id="rId12" w:history="1">
        <w:r w:rsidR="00D31C23" w:rsidRPr="00417B8E">
          <w:rPr>
            <w:rStyle w:val="Hipervnculo"/>
            <w:rFonts w:ascii="Verdana" w:hAnsi="Verdana"/>
            <w:sz w:val="22"/>
          </w:rPr>
          <w:t>https://doi.org/10.1016/j.dld.2024.02.020</w:t>
        </w:r>
      </w:hyperlink>
    </w:p>
    <w:p w14:paraId="48CFA0EE" w14:textId="77777777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</w:p>
    <w:p w14:paraId="605D984F" w14:textId="5587FB6A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4140AA">
        <w:rPr>
          <w:rFonts w:ascii="Verdana" w:hAnsi="Verdana"/>
          <w:sz w:val="22"/>
          <w:lang w:val="es-MX"/>
        </w:rPr>
        <w:t>De Martini</w:t>
      </w:r>
      <w:r w:rsidR="000371C8" w:rsidRPr="004140AA">
        <w:rPr>
          <w:rFonts w:ascii="Verdana" w:hAnsi="Verdana"/>
          <w:sz w:val="22"/>
          <w:lang w:val="es-MX"/>
        </w:rPr>
        <w:t>s, M., Sirufo, M. M., Suppa, M. y</w:t>
      </w:r>
      <w:r w:rsidRPr="004140AA">
        <w:rPr>
          <w:rFonts w:ascii="Verdana" w:hAnsi="Verdana"/>
          <w:sz w:val="22"/>
          <w:lang w:val="es-MX"/>
        </w:rPr>
        <w:t xml:space="preserve"> Ginaldi, L. (2020</w:t>
      </w:r>
      <w:r w:rsidR="000371C8" w:rsidRPr="004140AA">
        <w:rPr>
          <w:rFonts w:ascii="Verdana" w:hAnsi="Verdana"/>
          <w:sz w:val="22"/>
          <w:lang w:val="es-MX"/>
        </w:rPr>
        <w:t>, 21 de febrero</w:t>
      </w:r>
      <w:r w:rsidRPr="004140AA">
        <w:rPr>
          <w:rFonts w:ascii="Verdana" w:hAnsi="Verdana"/>
          <w:sz w:val="22"/>
          <w:lang w:val="es-MX"/>
        </w:rPr>
        <w:t xml:space="preserve">). </w:t>
      </w:r>
      <w:r w:rsidRPr="009D3613">
        <w:rPr>
          <w:rFonts w:ascii="Verdana" w:hAnsi="Verdana"/>
          <w:sz w:val="22"/>
        </w:rPr>
        <w:t>New perspectives in food allergy.</w:t>
      </w:r>
      <w:r w:rsidR="00D31C23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International Journal of Molecular Sciences</w:t>
      </w:r>
      <w:r w:rsidRPr="009D3613">
        <w:rPr>
          <w:rFonts w:ascii="Verdana" w:hAnsi="Verdana"/>
          <w:sz w:val="22"/>
        </w:rPr>
        <w:t>,</w:t>
      </w:r>
      <w:r w:rsidR="00D31C23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21</w:t>
      </w:r>
      <w:r w:rsidRPr="009D3613">
        <w:rPr>
          <w:rFonts w:ascii="Verdana" w:hAnsi="Verdana"/>
          <w:sz w:val="22"/>
        </w:rPr>
        <w:t>(4), 1474.</w:t>
      </w:r>
      <w:r w:rsidR="00D31C23">
        <w:rPr>
          <w:rFonts w:ascii="Verdana" w:hAnsi="Verdana"/>
          <w:sz w:val="22"/>
        </w:rPr>
        <w:t xml:space="preserve"> </w:t>
      </w:r>
      <w:hyperlink r:id="rId13" w:history="1">
        <w:r w:rsidR="0031504C" w:rsidRPr="00417B8E">
          <w:rPr>
            <w:rStyle w:val="Hipervnculo"/>
            <w:rFonts w:ascii="Verdana" w:hAnsi="Verdana"/>
            <w:sz w:val="22"/>
          </w:rPr>
          <w:t>https://doi.org/10.3390/ijms21041474</w:t>
        </w:r>
      </w:hyperlink>
    </w:p>
    <w:p w14:paraId="01A90457" w14:textId="77777777" w:rsidR="00826FC0" w:rsidRPr="009D3613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</w:p>
    <w:p w14:paraId="4C1837D3" w14:textId="29EDFE74" w:rsidR="00826FC0" w:rsidRPr="00672EC1" w:rsidRDefault="00826FC0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  <w:r w:rsidRPr="009D3613">
        <w:rPr>
          <w:rFonts w:ascii="Verdana" w:hAnsi="Verdana"/>
          <w:sz w:val="22"/>
        </w:rPr>
        <w:t>Dellon, E. S., Rothenberg, M. E., Collins, M. H., Hirano, I., Chehade, M., Bredenoord, A. J.,</w:t>
      </w:r>
      <w:r w:rsidR="000371C8">
        <w:rPr>
          <w:rFonts w:ascii="Verdana" w:hAnsi="Verdana"/>
          <w:sz w:val="22"/>
        </w:rPr>
        <w:t xml:space="preserve"> </w:t>
      </w:r>
      <w:r w:rsidR="00877F5F">
        <w:rPr>
          <w:rFonts w:ascii="Verdana" w:hAnsi="Verdana"/>
          <w:sz w:val="22"/>
        </w:rPr>
        <w:t>Lucendo, A. J., Spergel, J. M., Aceves, S., Sun, X., Kosloski, M. P., Kamal, M. A., Hamilton, J. D., Beazley, B., Patel, K., McCann, E., Mannent, L. P., Laws, E., Akinlade, B. y</w:t>
      </w:r>
      <w:r w:rsidRPr="009D3613">
        <w:rPr>
          <w:rFonts w:ascii="Verdana" w:hAnsi="Verdana"/>
          <w:sz w:val="22"/>
        </w:rPr>
        <w:t xml:space="preserve"> Shabbir, A. (2022</w:t>
      </w:r>
      <w:r w:rsidR="00877F5F">
        <w:rPr>
          <w:rFonts w:ascii="Verdana" w:hAnsi="Verdana"/>
          <w:sz w:val="22"/>
        </w:rPr>
        <w:t>, 21 de diciembre</w:t>
      </w:r>
      <w:r w:rsidRPr="009D3613">
        <w:rPr>
          <w:rFonts w:ascii="Verdana" w:hAnsi="Verdana"/>
          <w:sz w:val="22"/>
        </w:rPr>
        <w:t>). Dupilumab in adults and adolescents with eosinophilic esophagitis.</w:t>
      </w:r>
      <w:r w:rsidR="0031504C">
        <w:rPr>
          <w:rFonts w:ascii="Verdana" w:hAnsi="Verdana"/>
          <w:sz w:val="22"/>
        </w:rPr>
        <w:t xml:space="preserve"> </w:t>
      </w:r>
      <w:r w:rsidR="0031504C" w:rsidRPr="0031504C">
        <w:rPr>
          <w:rFonts w:ascii="Verdana" w:hAnsi="Verdana"/>
          <w:i/>
          <w:iCs/>
          <w:sz w:val="22"/>
        </w:rPr>
        <w:t>The</w:t>
      </w:r>
      <w:r w:rsidR="0031504C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New England Journal of Medicine</w:t>
      </w:r>
      <w:r w:rsidRPr="009D3613">
        <w:rPr>
          <w:rFonts w:ascii="Verdana" w:hAnsi="Verdana"/>
          <w:sz w:val="22"/>
        </w:rPr>
        <w:t>,</w:t>
      </w:r>
      <w:r w:rsidR="0031504C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387</w:t>
      </w:r>
      <w:r w:rsidRPr="009D3613">
        <w:rPr>
          <w:rFonts w:ascii="Verdana" w:hAnsi="Verdana"/>
          <w:sz w:val="22"/>
        </w:rPr>
        <w:t>(25), 2317–2330.</w:t>
      </w:r>
      <w:r w:rsidR="0031504C">
        <w:rPr>
          <w:rFonts w:ascii="Verdana" w:hAnsi="Verdana"/>
          <w:sz w:val="22"/>
        </w:rPr>
        <w:t xml:space="preserve"> </w:t>
      </w:r>
      <w:hyperlink r:id="rId14" w:history="1">
        <w:r w:rsidR="00696321" w:rsidRPr="00417B8E">
          <w:rPr>
            <w:rStyle w:val="Hipervnculo"/>
            <w:rFonts w:ascii="Verdana" w:hAnsi="Verdana"/>
            <w:sz w:val="22"/>
            <w:lang w:val="es-MX"/>
          </w:rPr>
          <w:t>https://doi.org/10.1056/NEJMoa2205982</w:t>
        </w:r>
      </w:hyperlink>
    </w:p>
    <w:p w14:paraId="582278A9" w14:textId="77777777" w:rsidR="00826FC0" w:rsidRPr="00672EC1" w:rsidRDefault="00826FC0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</w:p>
    <w:p w14:paraId="3D7BDCFC" w14:textId="51675E51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672EC1">
        <w:rPr>
          <w:rFonts w:ascii="Verdana" w:hAnsi="Verdana"/>
          <w:sz w:val="22"/>
          <w:lang w:val="es-MX"/>
        </w:rPr>
        <w:lastRenderedPageBreak/>
        <w:t>Fiocchi, A., Artesani, M. C., Riccardi, C., Mennini, M., Pecora, V., Fierro, V.,</w:t>
      </w:r>
      <w:r w:rsidR="00211D21">
        <w:rPr>
          <w:rFonts w:ascii="Verdana" w:hAnsi="Verdana"/>
          <w:sz w:val="22"/>
          <w:lang w:val="es-MX"/>
        </w:rPr>
        <w:t xml:space="preserve"> Calandrelli, V., Dahdah, L. y</w:t>
      </w:r>
      <w:r w:rsidRPr="00672EC1">
        <w:rPr>
          <w:rFonts w:ascii="Verdana" w:hAnsi="Verdana"/>
          <w:sz w:val="22"/>
          <w:lang w:val="es-MX"/>
        </w:rPr>
        <w:t xml:space="preserve"> Valluzzi, R. L. (2019</w:t>
      </w:r>
      <w:r w:rsidR="00211D21">
        <w:rPr>
          <w:rFonts w:ascii="Verdana" w:hAnsi="Verdana"/>
          <w:sz w:val="22"/>
          <w:lang w:val="es-MX"/>
        </w:rPr>
        <w:t>, julio-agosto</w:t>
      </w:r>
      <w:r w:rsidRPr="00672EC1">
        <w:rPr>
          <w:rFonts w:ascii="Verdana" w:hAnsi="Verdana"/>
          <w:sz w:val="22"/>
          <w:lang w:val="es-MX"/>
        </w:rPr>
        <w:t xml:space="preserve">). </w:t>
      </w:r>
      <w:r w:rsidRPr="009D3613">
        <w:rPr>
          <w:rFonts w:ascii="Verdana" w:hAnsi="Verdana"/>
          <w:sz w:val="22"/>
        </w:rPr>
        <w:t>Impact of omalizumab on food allergy i</w:t>
      </w:r>
      <w:r w:rsidR="00211D21">
        <w:rPr>
          <w:rFonts w:ascii="Verdana" w:hAnsi="Verdana"/>
          <w:sz w:val="22"/>
        </w:rPr>
        <w:t>n patients treated for asthma: a</w:t>
      </w:r>
      <w:r w:rsidRPr="009D3613">
        <w:rPr>
          <w:rFonts w:ascii="Verdana" w:hAnsi="Verdana"/>
          <w:sz w:val="22"/>
        </w:rPr>
        <w:t xml:space="preserve"> real-life study.</w:t>
      </w:r>
      <w:r w:rsidR="00696321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The Journal of Allergy and Clinical Immunology</w:t>
      </w:r>
      <w:r w:rsidRPr="009D3613">
        <w:rPr>
          <w:rFonts w:ascii="Verdana" w:hAnsi="Verdana"/>
          <w:sz w:val="22"/>
        </w:rPr>
        <w:t>,</w:t>
      </w:r>
      <w:r w:rsidR="00696321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7</w:t>
      </w:r>
      <w:r w:rsidRPr="009D3613">
        <w:rPr>
          <w:rFonts w:ascii="Verdana" w:hAnsi="Verdana"/>
          <w:sz w:val="22"/>
        </w:rPr>
        <w:t>(6), 1901</w:t>
      </w:r>
      <w:r w:rsidR="00696321">
        <w:rPr>
          <w:rFonts w:ascii="Verdana" w:hAnsi="Verdana"/>
          <w:sz w:val="22"/>
        </w:rPr>
        <w:t>-</w:t>
      </w:r>
      <w:r w:rsidRPr="009D3613">
        <w:rPr>
          <w:rFonts w:ascii="Verdana" w:hAnsi="Verdana"/>
          <w:sz w:val="22"/>
        </w:rPr>
        <w:t>1909.</w:t>
      </w:r>
      <w:r w:rsidRPr="00826FC0">
        <w:rPr>
          <w:rFonts w:ascii="Verdana" w:hAnsi="Verdana"/>
          <w:sz w:val="22"/>
        </w:rPr>
        <w:t xml:space="preserve"> </w:t>
      </w:r>
      <w:hyperlink r:id="rId15" w:tgtFrame="_blank" w:tooltip="Persistent link using digital object identifier" w:history="1">
        <w:r w:rsidRPr="00826FC0">
          <w:rPr>
            <w:rStyle w:val="Hipervnculo"/>
            <w:rFonts w:ascii="Verdana" w:hAnsi="Verdana"/>
            <w:sz w:val="22"/>
          </w:rPr>
          <w:t>https://doi.org/10.1016/j.jaip.2019.01.023</w:t>
        </w:r>
      </w:hyperlink>
    </w:p>
    <w:p w14:paraId="53D99779" w14:textId="77777777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</w:p>
    <w:p w14:paraId="5D94D452" w14:textId="7B812552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  <w:lang w:val="fr-BE"/>
        </w:rPr>
      </w:pPr>
      <w:r w:rsidRPr="009D3613">
        <w:rPr>
          <w:rFonts w:ascii="Verdana" w:hAnsi="Verdana"/>
          <w:sz w:val="22"/>
        </w:rPr>
        <w:t>Gasser, P., Tarchevskaya, S. S., Guntern, P., Brigger, D., Ruppli, R., Zbären, N.,</w:t>
      </w:r>
      <w:r w:rsidR="00211D21">
        <w:rPr>
          <w:rFonts w:ascii="Verdana" w:hAnsi="Verdana"/>
          <w:sz w:val="22"/>
        </w:rPr>
        <w:t xml:space="preserve"> Kleinboelting, S., Heusser, C.</w:t>
      </w:r>
      <w:r w:rsidR="00DF4AEE">
        <w:rPr>
          <w:rFonts w:ascii="Verdana" w:hAnsi="Verdana"/>
          <w:sz w:val="22"/>
        </w:rPr>
        <w:t xml:space="preserve">, </w:t>
      </w:r>
      <w:r w:rsidR="00211D21">
        <w:rPr>
          <w:rFonts w:ascii="Verdana" w:hAnsi="Verdana"/>
          <w:sz w:val="22"/>
        </w:rPr>
        <w:t>Jardetzky, T. S.</w:t>
      </w:r>
      <w:r w:rsidRPr="009D3613">
        <w:rPr>
          <w:rFonts w:ascii="Verdana" w:hAnsi="Verdana"/>
          <w:sz w:val="22"/>
        </w:rPr>
        <w:t xml:space="preserve"> </w:t>
      </w:r>
      <w:r w:rsidR="00211D21">
        <w:rPr>
          <w:rFonts w:ascii="Verdana" w:hAnsi="Verdana"/>
          <w:sz w:val="22"/>
        </w:rPr>
        <w:t>y</w:t>
      </w:r>
      <w:r w:rsidRPr="009D3613">
        <w:rPr>
          <w:rFonts w:ascii="Verdana" w:hAnsi="Verdana"/>
          <w:sz w:val="22"/>
        </w:rPr>
        <w:t xml:space="preserve"> Eggel, A. (2020</w:t>
      </w:r>
      <w:r w:rsidR="00211D21">
        <w:rPr>
          <w:rFonts w:ascii="Verdana" w:hAnsi="Verdana"/>
          <w:sz w:val="22"/>
        </w:rPr>
        <w:t>, 8 de enero</w:t>
      </w:r>
      <w:r w:rsidRPr="009D3613">
        <w:rPr>
          <w:rFonts w:ascii="Verdana" w:hAnsi="Verdana"/>
          <w:sz w:val="22"/>
        </w:rPr>
        <w:t>). The mechanistic and functional profile of the therapeutic anti-IgE antibody ligelizumab differs from omalizumab.</w:t>
      </w:r>
      <w:r w:rsidR="00696321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  <w:lang w:val="fr-BE"/>
        </w:rPr>
        <w:t>Nature Communications</w:t>
      </w:r>
      <w:r w:rsidRPr="009D3613">
        <w:rPr>
          <w:rFonts w:ascii="Verdana" w:hAnsi="Verdana"/>
          <w:sz w:val="22"/>
          <w:lang w:val="fr-BE"/>
        </w:rPr>
        <w:t>,</w:t>
      </w:r>
      <w:r w:rsidR="00696321">
        <w:rPr>
          <w:rFonts w:ascii="Verdana" w:hAnsi="Verdana"/>
          <w:sz w:val="22"/>
          <w:lang w:val="fr-BE"/>
        </w:rPr>
        <w:t xml:space="preserve"> </w:t>
      </w:r>
      <w:r w:rsidRPr="009D3613">
        <w:rPr>
          <w:rFonts w:ascii="Verdana" w:hAnsi="Verdana"/>
          <w:i/>
          <w:iCs/>
          <w:sz w:val="22"/>
          <w:lang w:val="fr-BE"/>
        </w:rPr>
        <w:t>11</w:t>
      </w:r>
      <w:r w:rsidRPr="009D3613">
        <w:rPr>
          <w:rFonts w:ascii="Verdana" w:hAnsi="Verdana"/>
          <w:sz w:val="22"/>
          <w:lang w:val="fr-BE"/>
        </w:rPr>
        <w:t>(1), 165.</w:t>
      </w:r>
      <w:r w:rsidR="00696321">
        <w:rPr>
          <w:rFonts w:ascii="Verdana" w:hAnsi="Verdana"/>
          <w:sz w:val="22"/>
          <w:lang w:val="fr-BE"/>
        </w:rPr>
        <w:t xml:space="preserve"> </w:t>
      </w:r>
      <w:hyperlink r:id="rId16" w:history="1">
        <w:r w:rsidR="004C2D9F" w:rsidRPr="00417B8E">
          <w:rPr>
            <w:rStyle w:val="Hipervnculo"/>
            <w:rFonts w:ascii="Verdana" w:hAnsi="Verdana"/>
            <w:sz w:val="22"/>
            <w:lang w:val="fr-BE"/>
          </w:rPr>
          <w:t>https://doi.org/10.1038/s41467-019-13815-w</w:t>
        </w:r>
      </w:hyperlink>
    </w:p>
    <w:p w14:paraId="31A2460D" w14:textId="77777777" w:rsidR="00826FC0" w:rsidRPr="009D3613" w:rsidRDefault="00826FC0" w:rsidP="00DF4AEE">
      <w:pPr>
        <w:spacing w:after="0" w:line="240" w:lineRule="auto"/>
        <w:ind w:left="720"/>
        <w:jc w:val="both"/>
        <w:rPr>
          <w:rFonts w:ascii="Verdana" w:hAnsi="Verdana"/>
          <w:sz w:val="22"/>
          <w:lang w:val="fr-BE"/>
        </w:rPr>
      </w:pPr>
    </w:p>
    <w:p w14:paraId="396628A8" w14:textId="6AEF8877" w:rsidR="00826FC0" w:rsidRPr="00826FC0" w:rsidRDefault="00211D21" w:rsidP="00DF4AEE">
      <w:pPr>
        <w:spacing w:after="0" w:line="240" w:lineRule="auto"/>
        <w:jc w:val="both"/>
        <w:rPr>
          <w:rFonts w:ascii="Verdana" w:hAnsi="Verdana"/>
          <w:sz w:val="22"/>
          <w:lang w:val="fr-BE"/>
        </w:rPr>
      </w:pPr>
      <w:r>
        <w:rPr>
          <w:rFonts w:ascii="Verdana" w:hAnsi="Verdana"/>
          <w:sz w:val="22"/>
          <w:lang w:val="fr-BE"/>
        </w:rPr>
        <w:t>Guntern, P. y</w:t>
      </w:r>
      <w:r w:rsidR="00826FC0" w:rsidRPr="009D3613">
        <w:rPr>
          <w:rFonts w:ascii="Verdana" w:hAnsi="Verdana"/>
          <w:sz w:val="22"/>
          <w:lang w:val="fr-BE"/>
        </w:rPr>
        <w:t xml:space="preserve"> Eggel, A. (2020</w:t>
      </w:r>
      <w:r>
        <w:rPr>
          <w:rFonts w:ascii="Verdana" w:hAnsi="Verdana"/>
          <w:sz w:val="22"/>
          <w:lang w:val="fr-BE"/>
        </w:rPr>
        <w:t>, 6 de abril</w:t>
      </w:r>
      <w:r w:rsidR="00826FC0" w:rsidRPr="009D3613">
        <w:rPr>
          <w:rFonts w:ascii="Verdana" w:hAnsi="Verdana"/>
          <w:sz w:val="22"/>
          <w:lang w:val="fr-BE"/>
        </w:rPr>
        <w:t xml:space="preserve">). </w:t>
      </w:r>
      <w:r w:rsidR="00826FC0" w:rsidRPr="009D3613">
        <w:rPr>
          <w:rFonts w:ascii="Verdana" w:hAnsi="Verdana"/>
          <w:sz w:val="22"/>
        </w:rPr>
        <w:t>Past, present, and future of anti-IgE biologics.</w:t>
      </w:r>
      <w:r w:rsidR="004C2D9F">
        <w:rPr>
          <w:rFonts w:ascii="Verdana" w:hAnsi="Verdana"/>
          <w:sz w:val="22"/>
        </w:rPr>
        <w:t xml:space="preserve"> </w:t>
      </w:r>
      <w:r w:rsidR="00826FC0" w:rsidRPr="009D3613">
        <w:rPr>
          <w:rFonts w:ascii="Verdana" w:hAnsi="Verdana"/>
          <w:i/>
          <w:iCs/>
          <w:sz w:val="22"/>
          <w:lang w:val="fr-BE"/>
        </w:rPr>
        <w:t>Allergy</w:t>
      </w:r>
      <w:r w:rsidR="00826FC0" w:rsidRPr="009D3613">
        <w:rPr>
          <w:rFonts w:ascii="Verdana" w:hAnsi="Verdana"/>
          <w:sz w:val="22"/>
          <w:lang w:val="fr-BE"/>
        </w:rPr>
        <w:t>,</w:t>
      </w:r>
      <w:r w:rsidR="004C2D9F">
        <w:rPr>
          <w:rFonts w:ascii="Verdana" w:hAnsi="Verdana"/>
          <w:sz w:val="22"/>
          <w:lang w:val="fr-BE"/>
        </w:rPr>
        <w:t xml:space="preserve"> </w:t>
      </w:r>
      <w:r w:rsidR="00826FC0" w:rsidRPr="009D3613">
        <w:rPr>
          <w:rFonts w:ascii="Verdana" w:hAnsi="Verdana"/>
          <w:i/>
          <w:iCs/>
          <w:sz w:val="22"/>
          <w:lang w:val="fr-BE"/>
        </w:rPr>
        <w:t>75</w:t>
      </w:r>
      <w:r w:rsidR="00826FC0" w:rsidRPr="009D3613">
        <w:rPr>
          <w:rFonts w:ascii="Verdana" w:hAnsi="Verdana"/>
          <w:sz w:val="22"/>
          <w:lang w:val="fr-BE"/>
        </w:rPr>
        <w:t>(10), 2491</w:t>
      </w:r>
      <w:r w:rsidR="004C2D9F">
        <w:rPr>
          <w:rFonts w:ascii="Verdana" w:hAnsi="Verdana"/>
          <w:sz w:val="22"/>
          <w:lang w:val="fr-BE"/>
        </w:rPr>
        <w:t>-</w:t>
      </w:r>
      <w:r w:rsidR="00826FC0" w:rsidRPr="009D3613">
        <w:rPr>
          <w:rFonts w:ascii="Verdana" w:hAnsi="Verdana"/>
          <w:sz w:val="22"/>
          <w:lang w:val="fr-BE"/>
        </w:rPr>
        <w:t>2502.</w:t>
      </w:r>
      <w:r w:rsidR="004C2D9F">
        <w:rPr>
          <w:rFonts w:ascii="Verdana" w:hAnsi="Verdana"/>
          <w:sz w:val="22"/>
          <w:lang w:val="fr-BE"/>
        </w:rPr>
        <w:t xml:space="preserve"> </w:t>
      </w:r>
      <w:hyperlink r:id="rId17" w:history="1">
        <w:r w:rsidR="004C2D9F" w:rsidRPr="00417B8E">
          <w:rPr>
            <w:rStyle w:val="Hipervnculo"/>
            <w:rFonts w:ascii="Verdana" w:hAnsi="Verdana"/>
            <w:sz w:val="22"/>
            <w:lang w:val="fr-BE"/>
          </w:rPr>
          <w:t>https://doi.org/10.1111/all.14308</w:t>
        </w:r>
      </w:hyperlink>
    </w:p>
    <w:p w14:paraId="1F3276E5" w14:textId="77777777" w:rsidR="00826FC0" w:rsidRPr="009D3613" w:rsidRDefault="00826FC0" w:rsidP="00DF4AEE">
      <w:pPr>
        <w:spacing w:after="0" w:line="240" w:lineRule="auto"/>
        <w:ind w:left="720"/>
        <w:jc w:val="both"/>
        <w:rPr>
          <w:rFonts w:ascii="Verdana" w:hAnsi="Verdana"/>
          <w:sz w:val="22"/>
          <w:lang w:val="fr-BE"/>
        </w:rPr>
      </w:pPr>
    </w:p>
    <w:p w14:paraId="6E07FC11" w14:textId="13009502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9D3613">
        <w:rPr>
          <w:rFonts w:ascii="Verdana" w:hAnsi="Verdana"/>
          <w:sz w:val="22"/>
          <w:lang w:val="fr-BE"/>
        </w:rPr>
        <w:t>Harrison, F. C., Gi</w:t>
      </w:r>
      <w:r w:rsidR="00211D21">
        <w:rPr>
          <w:rFonts w:ascii="Verdana" w:hAnsi="Verdana"/>
          <w:sz w:val="22"/>
          <w:lang w:val="fr-BE"/>
        </w:rPr>
        <w:t>ovannini, M., Kalaichandran, A. y</w:t>
      </w:r>
      <w:r w:rsidRPr="009D3613">
        <w:rPr>
          <w:rFonts w:ascii="Verdana" w:hAnsi="Verdana"/>
          <w:sz w:val="22"/>
          <w:lang w:val="fr-BE"/>
        </w:rPr>
        <w:t xml:space="preserve"> Santos, A. F. (2020</w:t>
      </w:r>
      <w:r w:rsidR="00211D21">
        <w:rPr>
          <w:rFonts w:ascii="Verdana" w:hAnsi="Verdana"/>
          <w:sz w:val="22"/>
          <w:lang w:val="fr-BE"/>
        </w:rPr>
        <w:t>, 17 de febrero</w:t>
      </w:r>
      <w:r w:rsidRPr="009D3613">
        <w:rPr>
          <w:rFonts w:ascii="Verdana" w:hAnsi="Verdana"/>
          <w:sz w:val="22"/>
          <w:lang w:val="fr-BE"/>
        </w:rPr>
        <w:t xml:space="preserve">). </w:t>
      </w:r>
      <w:r w:rsidRPr="00211D21">
        <w:rPr>
          <w:rFonts w:ascii="Verdana" w:hAnsi="Verdana"/>
          <w:i/>
          <w:sz w:val="22"/>
        </w:rPr>
        <w:t>Food allergy</w:t>
      </w:r>
      <w:r w:rsidRPr="009D3613">
        <w:rPr>
          <w:rFonts w:ascii="Verdana" w:hAnsi="Verdana"/>
          <w:sz w:val="22"/>
        </w:rPr>
        <w:t>. Wiley.</w:t>
      </w:r>
      <w:r w:rsidR="004C2D9F">
        <w:rPr>
          <w:rFonts w:ascii="Verdana" w:hAnsi="Verdana"/>
          <w:sz w:val="22"/>
        </w:rPr>
        <w:t xml:space="preserve"> </w:t>
      </w:r>
      <w:hyperlink r:id="rId18" w:history="1">
        <w:r w:rsidR="004C2D9F" w:rsidRPr="00417B8E">
          <w:rPr>
            <w:rStyle w:val="Hipervnculo"/>
            <w:rFonts w:ascii="Verdana" w:hAnsi="Verdana"/>
            <w:sz w:val="22"/>
          </w:rPr>
          <w:t>https://doi.org/10.1002/9780470015902.a0028380</w:t>
        </w:r>
      </w:hyperlink>
    </w:p>
    <w:p w14:paraId="435DFFF4" w14:textId="77777777" w:rsidR="00826FC0" w:rsidRPr="009D3613" w:rsidRDefault="00826FC0" w:rsidP="00DF4AEE">
      <w:pPr>
        <w:spacing w:after="0" w:line="240" w:lineRule="auto"/>
        <w:ind w:left="720"/>
        <w:jc w:val="both"/>
        <w:rPr>
          <w:rFonts w:ascii="Verdana" w:hAnsi="Verdana"/>
          <w:sz w:val="22"/>
        </w:rPr>
      </w:pPr>
    </w:p>
    <w:p w14:paraId="0830FD26" w14:textId="4E04B21C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9D3613">
        <w:rPr>
          <w:rFonts w:ascii="Verdana" w:hAnsi="Verdana"/>
          <w:sz w:val="22"/>
        </w:rPr>
        <w:t xml:space="preserve">Leung, D. Y., Sampson, H. A., Yunginger, J. W., Burks, A. W., Jr., Schneider, L. C., Wortel, C. H., </w:t>
      </w:r>
      <w:r w:rsidR="00211D21">
        <w:rPr>
          <w:rFonts w:ascii="Verdana" w:hAnsi="Verdana"/>
          <w:sz w:val="22"/>
        </w:rPr>
        <w:t xml:space="preserve">Davis, F. M., Hyun, J. D. y Shanahan, W. R. </w:t>
      </w:r>
      <w:r w:rsidRPr="009D3613">
        <w:rPr>
          <w:rFonts w:ascii="Verdana" w:hAnsi="Verdana"/>
          <w:sz w:val="22"/>
        </w:rPr>
        <w:t>(2003</w:t>
      </w:r>
      <w:r w:rsidR="00211D21">
        <w:rPr>
          <w:rFonts w:ascii="Verdana" w:hAnsi="Verdana"/>
          <w:sz w:val="22"/>
        </w:rPr>
        <w:t>, 13 de marzo</w:t>
      </w:r>
      <w:r w:rsidRPr="009D3613">
        <w:rPr>
          <w:rFonts w:ascii="Verdana" w:hAnsi="Verdana"/>
          <w:sz w:val="22"/>
        </w:rPr>
        <w:t>). Effect of anti-IgE therapy in patients with peanut allergy.</w:t>
      </w:r>
      <w:r w:rsidR="004C2D9F">
        <w:rPr>
          <w:rFonts w:ascii="Verdana" w:hAnsi="Verdana"/>
          <w:sz w:val="22"/>
        </w:rPr>
        <w:t xml:space="preserve"> </w:t>
      </w:r>
      <w:r w:rsidR="004C2D9F" w:rsidRPr="004C2D9F">
        <w:rPr>
          <w:rFonts w:ascii="Verdana" w:hAnsi="Verdana"/>
          <w:i/>
          <w:iCs/>
          <w:sz w:val="22"/>
        </w:rPr>
        <w:t>The</w:t>
      </w:r>
      <w:r w:rsidR="004C2D9F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New England Journal of Medicine</w:t>
      </w:r>
      <w:r w:rsidRPr="009D3613">
        <w:rPr>
          <w:rFonts w:ascii="Verdana" w:hAnsi="Verdana"/>
          <w:sz w:val="22"/>
        </w:rPr>
        <w:t>,</w:t>
      </w:r>
      <w:r w:rsidR="004C2D9F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348</w:t>
      </w:r>
      <w:r w:rsidRPr="009D3613">
        <w:rPr>
          <w:rFonts w:ascii="Verdana" w:hAnsi="Verdana"/>
          <w:sz w:val="22"/>
        </w:rPr>
        <w:t>(11), 986</w:t>
      </w:r>
      <w:r w:rsidR="004C2D9F">
        <w:rPr>
          <w:rFonts w:ascii="Verdana" w:hAnsi="Verdana"/>
          <w:sz w:val="22"/>
        </w:rPr>
        <w:t>-</w:t>
      </w:r>
      <w:r w:rsidRPr="009D3613">
        <w:rPr>
          <w:rFonts w:ascii="Verdana" w:hAnsi="Verdana"/>
          <w:sz w:val="22"/>
        </w:rPr>
        <w:t>993.</w:t>
      </w:r>
      <w:r w:rsidR="004C2D9F">
        <w:rPr>
          <w:rFonts w:ascii="Verdana" w:hAnsi="Verdana"/>
          <w:sz w:val="22"/>
        </w:rPr>
        <w:t xml:space="preserve"> </w:t>
      </w:r>
      <w:hyperlink r:id="rId19" w:history="1">
        <w:r w:rsidR="004C2D9F" w:rsidRPr="00417B8E">
          <w:rPr>
            <w:rStyle w:val="Hipervnculo"/>
            <w:rFonts w:ascii="Verdana" w:hAnsi="Verdana"/>
            <w:sz w:val="22"/>
          </w:rPr>
          <w:t>https://doi.org/10.1056/NEJMoa022613</w:t>
        </w:r>
      </w:hyperlink>
    </w:p>
    <w:p w14:paraId="5A6C558C" w14:textId="77777777" w:rsidR="00826FC0" w:rsidRPr="009D3613" w:rsidRDefault="00826FC0" w:rsidP="00DF4AEE">
      <w:pPr>
        <w:spacing w:after="0" w:line="240" w:lineRule="auto"/>
        <w:ind w:left="720"/>
        <w:jc w:val="both"/>
        <w:rPr>
          <w:rFonts w:ascii="Verdana" w:hAnsi="Verdana"/>
          <w:sz w:val="22"/>
        </w:rPr>
      </w:pPr>
    </w:p>
    <w:p w14:paraId="091AC54A" w14:textId="03FFCA35" w:rsidR="00826FC0" w:rsidRPr="00826FC0" w:rsidRDefault="00211D21" w:rsidP="00DF4AEE">
      <w:pPr>
        <w:spacing w:after="0" w:line="240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Linton, S., Hossenbaccus, L. y</w:t>
      </w:r>
      <w:r w:rsidR="00826FC0" w:rsidRPr="009D3613">
        <w:rPr>
          <w:rFonts w:ascii="Verdana" w:hAnsi="Verdana"/>
          <w:sz w:val="22"/>
        </w:rPr>
        <w:t xml:space="preserve"> Ellis, A. K. (2023</w:t>
      </w:r>
      <w:r>
        <w:rPr>
          <w:rFonts w:ascii="Verdana" w:hAnsi="Verdana"/>
          <w:sz w:val="22"/>
        </w:rPr>
        <w:t>, octubre</w:t>
      </w:r>
      <w:r w:rsidR="00826FC0" w:rsidRPr="009D3613">
        <w:rPr>
          <w:rFonts w:ascii="Verdana" w:hAnsi="Verdana"/>
          <w:sz w:val="22"/>
        </w:rPr>
        <w:t>). Evidence-based use of antihistamines for treatment of allergic conditions.</w:t>
      </w:r>
      <w:r w:rsidR="004C2D9F">
        <w:rPr>
          <w:rFonts w:ascii="Verdana" w:hAnsi="Verdana"/>
          <w:sz w:val="22"/>
        </w:rPr>
        <w:t xml:space="preserve"> </w:t>
      </w:r>
      <w:r w:rsidR="00826FC0" w:rsidRPr="009D3613">
        <w:rPr>
          <w:rFonts w:ascii="Verdana" w:hAnsi="Verdana"/>
          <w:i/>
          <w:iCs/>
          <w:sz w:val="22"/>
        </w:rPr>
        <w:t xml:space="preserve">Annals of Allergy, Asthma </w:t>
      </w:r>
      <w:r w:rsidR="004C2D9F">
        <w:rPr>
          <w:rFonts w:ascii="Verdana" w:hAnsi="Verdana"/>
          <w:i/>
          <w:iCs/>
          <w:sz w:val="22"/>
        </w:rPr>
        <w:t>and</w:t>
      </w:r>
      <w:r w:rsidR="00826FC0" w:rsidRPr="009D3613">
        <w:rPr>
          <w:rFonts w:ascii="Verdana" w:hAnsi="Verdana"/>
          <w:i/>
          <w:iCs/>
          <w:sz w:val="22"/>
        </w:rPr>
        <w:t xml:space="preserve"> Immunology</w:t>
      </w:r>
      <w:r w:rsidR="00826FC0" w:rsidRPr="009D3613">
        <w:rPr>
          <w:rFonts w:ascii="Verdana" w:hAnsi="Verdana"/>
          <w:sz w:val="22"/>
        </w:rPr>
        <w:t>,</w:t>
      </w:r>
      <w:r w:rsidR="004C2D9F">
        <w:rPr>
          <w:rFonts w:ascii="Verdana" w:hAnsi="Verdana"/>
          <w:sz w:val="22"/>
        </w:rPr>
        <w:t xml:space="preserve"> </w:t>
      </w:r>
      <w:r w:rsidR="00826FC0" w:rsidRPr="009D3613">
        <w:rPr>
          <w:rFonts w:ascii="Verdana" w:hAnsi="Verdana"/>
          <w:i/>
          <w:iCs/>
          <w:sz w:val="22"/>
        </w:rPr>
        <w:t>131</w:t>
      </w:r>
      <w:r w:rsidR="00826FC0" w:rsidRPr="009D3613">
        <w:rPr>
          <w:rFonts w:ascii="Verdana" w:hAnsi="Verdana"/>
          <w:sz w:val="22"/>
        </w:rPr>
        <w:t>(4), 412</w:t>
      </w:r>
      <w:r w:rsidR="004C2D9F">
        <w:rPr>
          <w:rFonts w:ascii="Verdana" w:hAnsi="Verdana"/>
          <w:sz w:val="22"/>
        </w:rPr>
        <w:t>-</w:t>
      </w:r>
      <w:r w:rsidR="00826FC0" w:rsidRPr="009D3613">
        <w:rPr>
          <w:rFonts w:ascii="Verdana" w:hAnsi="Verdana"/>
          <w:sz w:val="22"/>
        </w:rPr>
        <w:t>420.</w:t>
      </w:r>
      <w:r w:rsidR="004C2D9F">
        <w:rPr>
          <w:rFonts w:ascii="Verdana" w:hAnsi="Verdana"/>
          <w:sz w:val="22"/>
        </w:rPr>
        <w:t xml:space="preserve"> </w:t>
      </w:r>
      <w:hyperlink r:id="rId20" w:history="1">
        <w:r w:rsidR="004C2D9F" w:rsidRPr="00417B8E">
          <w:rPr>
            <w:rStyle w:val="Hipervnculo"/>
            <w:rFonts w:ascii="Verdana" w:hAnsi="Verdana"/>
            <w:sz w:val="22"/>
          </w:rPr>
          <w:t>https://doi.org/10.1016/j.anai.2023.07.019</w:t>
        </w:r>
      </w:hyperlink>
    </w:p>
    <w:p w14:paraId="630F4ACC" w14:textId="77777777" w:rsidR="00826FC0" w:rsidRPr="009D3613" w:rsidRDefault="00826FC0" w:rsidP="00DF4AEE">
      <w:pPr>
        <w:spacing w:after="0" w:line="240" w:lineRule="auto"/>
        <w:ind w:left="720"/>
        <w:jc w:val="both"/>
        <w:rPr>
          <w:rFonts w:ascii="Verdana" w:hAnsi="Verdana"/>
          <w:sz w:val="22"/>
        </w:rPr>
      </w:pPr>
    </w:p>
    <w:p w14:paraId="5CB566AC" w14:textId="4A47CCBD" w:rsidR="00826FC0" w:rsidRPr="00FD1EAC" w:rsidRDefault="00211D21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DF4AEE">
        <w:rPr>
          <w:rFonts w:ascii="Verdana" w:hAnsi="Verdana"/>
          <w:sz w:val="22"/>
        </w:rPr>
        <w:t>Muraro, A., D</w:t>
      </w:r>
      <w:r w:rsidR="00826FC0" w:rsidRPr="00DF4AEE">
        <w:rPr>
          <w:rFonts w:ascii="Verdana" w:hAnsi="Verdana"/>
          <w:sz w:val="22"/>
        </w:rPr>
        <w:t xml:space="preserve">e Silva, D., Halken, S., Worm, M., Khaleva, E., Arasi, S., </w:t>
      </w:r>
      <w:r w:rsidRPr="00DF4AEE">
        <w:rPr>
          <w:rFonts w:ascii="Verdana" w:hAnsi="Verdana"/>
          <w:sz w:val="22"/>
        </w:rPr>
        <w:t>Dunn-Galvin, A., Nwaru, B. I., De Jong, N. W., Rodríguez, P., Turner, P. J., Smith, P., Begin, P., Angier, E., Arshad, H., Ballmer-Weber, B., Beyer, K., Bin</w:t>
      </w:r>
      <w:r w:rsidR="003A529D" w:rsidRPr="00DF4AEE">
        <w:rPr>
          <w:rFonts w:ascii="Verdana" w:hAnsi="Verdana"/>
          <w:sz w:val="22"/>
        </w:rPr>
        <w:t>dslev-Jensen, C., Cianferoni, A.</w:t>
      </w:r>
      <w:r w:rsidRPr="00DF4AEE">
        <w:rPr>
          <w:rFonts w:ascii="Verdana" w:hAnsi="Verdana"/>
          <w:sz w:val="22"/>
        </w:rPr>
        <w:t xml:space="preserve"> </w:t>
      </w:r>
      <w:r w:rsidR="003A529D" w:rsidRPr="00DF4AEE">
        <w:rPr>
          <w:rFonts w:ascii="Verdana" w:hAnsi="Verdana"/>
          <w:sz w:val="22"/>
        </w:rPr>
        <w:t>y</w:t>
      </w:r>
      <w:r w:rsidR="00826FC0" w:rsidRPr="009D3613">
        <w:rPr>
          <w:rFonts w:ascii="Verdana" w:hAnsi="Verdana"/>
          <w:sz w:val="22"/>
        </w:rPr>
        <w:t xml:space="preserve"> Brozek, J. L. (2022</w:t>
      </w:r>
      <w:r w:rsidR="003A529D">
        <w:rPr>
          <w:rFonts w:ascii="Verdana" w:hAnsi="Verdana"/>
          <w:sz w:val="22"/>
        </w:rPr>
        <w:t>, septiembre</w:t>
      </w:r>
      <w:r w:rsidR="00826FC0" w:rsidRPr="009D3613">
        <w:rPr>
          <w:rFonts w:ascii="Verdana" w:hAnsi="Verdana"/>
          <w:sz w:val="22"/>
        </w:rPr>
        <w:t>). Managing food allergy: GA</w:t>
      </w:r>
      <w:r w:rsidR="004C2D9F" w:rsidRPr="004C2D9F">
        <w:rPr>
          <w:rFonts w:ascii="Verdana" w:hAnsi="Verdana"/>
          <w:sz w:val="22"/>
          <w:vertAlign w:val="superscript"/>
        </w:rPr>
        <w:t>2</w:t>
      </w:r>
      <w:r w:rsidR="00826FC0" w:rsidRPr="009D3613">
        <w:rPr>
          <w:rFonts w:ascii="Verdana" w:hAnsi="Verdana"/>
          <w:sz w:val="22"/>
        </w:rPr>
        <w:t>LEN guideline 2022.</w:t>
      </w:r>
      <w:r w:rsidR="00FD1EAC">
        <w:rPr>
          <w:rFonts w:ascii="Verdana" w:hAnsi="Verdana"/>
          <w:sz w:val="22"/>
        </w:rPr>
        <w:t xml:space="preserve"> </w:t>
      </w:r>
      <w:r w:rsidR="00826FC0" w:rsidRPr="009D3613">
        <w:rPr>
          <w:rFonts w:ascii="Verdana" w:hAnsi="Verdana"/>
          <w:i/>
          <w:iCs/>
          <w:sz w:val="22"/>
        </w:rPr>
        <w:t>World Allergy Organization Journal</w:t>
      </w:r>
      <w:r w:rsidR="00826FC0" w:rsidRPr="009D3613">
        <w:rPr>
          <w:rFonts w:ascii="Verdana" w:hAnsi="Verdana"/>
          <w:sz w:val="22"/>
        </w:rPr>
        <w:t>,</w:t>
      </w:r>
      <w:r w:rsidR="00FD1EAC">
        <w:rPr>
          <w:rFonts w:ascii="Verdana" w:hAnsi="Verdana"/>
          <w:sz w:val="22"/>
        </w:rPr>
        <w:t xml:space="preserve"> </w:t>
      </w:r>
      <w:r w:rsidR="00826FC0" w:rsidRPr="009D3613">
        <w:rPr>
          <w:rFonts w:ascii="Verdana" w:hAnsi="Verdana"/>
          <w:i/>
          <w:iCs/>
          <w:sz w:val="22"/>
        </w:rPr>
        <w:t>15</w:t>
      </w:r>
      <w:r w:rsidR="00826FC0" w:rsidRPr="009D3613">
        <w:rPr>
          <w:rFonts w:ascii="Verdana" w:hAnsi="Verdana"/>
          <w:sz w:val="22"/>
        </w:rPr>
        <w:t>(12), 100687.</w:t>
      </w:r>
      <w:r w:rsidR="00FD1EAC">
        <w:rPr>
          <w:rFonts w:ascii="Verdana" w:hAnsi="Verdana"/>
          <w:sz w:val="22"/>
        </w:rPr>
        <w:t xml:space="preserve"> </w:t>
      </w:r>
      <w:hyperlink r:id="rId21" w:history="1">
        <w:r w:rsidR="00CE7618" w:rsidRPr="00417B8E">
          <w:rPr>
            <w:rStyle w:val="Hipervnculo"/>
            <w:rFonts w:ascii="Verdana" w:hAnsi="Verdana"/>
            <w:sz w:val="22"/>
          </w:rPr>
          <w:t>https://doi.org/10.1016/j.waojou.2022.100687</w:t>
        </w:r>
      </w:hyperlink>
    </w:p>
    <w:p w14:paraId="3630CA46" w14:textId="77777777" w:rsidR="00826FC0" w:rsidRPr="00FD1EAC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</w:p>
    <w:p w14:paraId="08CCA797" w14:textId="6CE1E7A8" w:rsidR="00826FC0" w:rsidRPr="00DF4AEE" w:rsidRDefault="003A529D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  <w:r w:rsidRPr="00DF4AEE">
        <w:rPr>
          <w:rFonts w:ascii="Verdana" w:hAnsi="Verdana"/>
          <w:sz w:val="22"/>
          <w:lang w:val="es-MX"/>
        </w:rPr>
        <w:t>Muraro, A., Tropeano, A. y</w:t>
      </w:r>
      <w:r w:rsidR="00826FC0" w:rsidRPr="00DF4AEE">
        <w:rPr>
          <w:rFonts w:ascii="Verdana" w:hAnsi="Verdana"/>
          <w:sz w:val="22"/>
          <w:lang w:val="es-MX"/>
        </w:rPr>
        <w:t xml:space="preserve"> Giovannini, M. (2022). </w:t>
      </w:r>
      <w:r w:rsidR="00826FC0" w:rsidRPr="009D3613">
        <w:rPr>
          <w:rFonts w:ascii="Verdana" w:hAnsi="Verdana"/>
          <w:sz w:val="22"/>
        </w:rPr>
        <w:t>Allergen i</w:t>
      </w:r>
      <w:r>
        <w:rPr>
          <w:rFonts w:ascii="Verdana" w:hAnsi="Verdana"/>
          <w:sz w:val="22"/>
        </w:rPr>
        <w:t>mmunotherapy for food allergy: e</w:t>
      </w:r>
      <w:r w:rsidR="00826FC0" w:rsidRPr="009D3613">
        <w:rPr>
          <w:rFonts w:ascii="Verdana" w:hAnsi="Verdana"/>
          <w:sz w:val="22"/>
        </w:rPr>
        <w:t>vidence and outlook.</w:t>
      </w:r>
      <w:r w:rsidR="00CE7618">
        <w:rPr>
          <w:rFonts w:ascii="Verdana" w:hAnsi="Verdana"/>
          <w:sz w:val="22"/>
        </w:rPr>
        <w:t xml:space="preserve"> </w:t>
      </w:r>
      <w:r w:rsidR="00826FC0" w:rsidRPr="00DF4AEE">
        <w:rPr>
          <w:rFonts w:ascii="Verdana" w:hAnsi="Verdana"/>
          <w:i/>
          <w:iCs/>
          <w:sz w:val="22"/>
          <w:lang w:val="es-MX"/>
        </w:rPr>
        <w:t>Allergologie Select</w:t>
      </w:r>
      <w:r w:rsidR="00826FC0" w:rsidRPr="00DF4AEE">
        <w:rPr>
          <w:rFonts w:ascii="Verdana" w:hAnsi="Verdana"/>
          <w:sz w:val="22"/>
          <w:lang w:val="es-MX"/>
        </w:rPr>
        <w:t>,</w:t>
      </w:r>
      <w:r w:rsidR="00CE7618">
        <w:rPr>
          <w:rFonts w:ascii="Verdana" w:hAnsi="Verdana"/>
          <w:sz w:val="22"/>
          <w:lang w:val="es-MX"/>
        </w:rPr>
        <w:t xml:space="preserve"> </w:t>
      </w:r>
      <w:r w:rsidR="00826FC0" w:rsidRPr="00DF4AEE">
        <w:rPr>
          <w:rFonts w:ascii="Verdana" w:hAnsi="Verdana"/>
          <w:i/>
          <w:iCs/>
          <w:sz w:val="22"/>
          <w:lang w:val="es-MX"/>
        </w:rPr>
        <w:t>6</w:t>
      </w:r>
      <w:r w:rsidRPr="00DF4AEE">
        <w:rPr>
          <w:rFonts w:ascii="Verdana" w:hAnsi="Verdana"/>
          <w:sz w:val="22"/>
          <w:lang w:val="es-MX"/>
        </w:rPr>
        <w:t>, 285-</w:t>
      </w:r>
      <w:r w:rsidR="00826FC0" w:rsidRPr="00DF4AEE">
        <w:rPr>
          <w:rFonts w:ascii="Verdana" w:hAnsi="Verdana"/>
          <w:sz w:val="22"/>
          <w:lang w:val="es-MX"/>
        </w:rPr>
        <w:t>292.</w:t>
      </w:r>
      <w:r w:rsidR="00CE7618">
        <w:rPr>
          <w:rFonts w:ascii="Verdana" w:hAnsi="Verdana"/>
          <w:sz w:val="22"/>
          <w:lang w:val="es-MX"/>
        </w:rPr>
        <w:t xml:space="preserve"> </w:t>
      </w:r>
      <w:hyperlink r:id="rId22" w:history="1">
        <w:r w:rsidR="00CE7618" w:rsidRPr="00417B8E">
          <w:rPr>
            <w:rStyle w:val="Hipervnculo"/>
            <w:rFonts w:ascii="Verdana" w:hAnsi="Verdana"/>
            <w:sz w:val="22"/>
            <w:lang w:val="es-MX"/>
          </w:rPr>
          <w:t>https://doi.org/10.5414/ALX02319E</w:t>
        </w:r>
      </w:hyperlink>
    </w:p>
    <w:p w14:paraId="2E45FC43" w14:textId="77777777" w:rsidR="00826FC0" w:rsidRPr="00DF4AEE" w:rsidRDefault="00826FC0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</w:p>
    <w:p w14:paraId="4DEB56DA" w14:textId="335BA9CF" w:rsidR="00826FC0" w:rsidRPr="00DF4AEE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DF4AEE">
        <w:rPr>
          <w:rFonts w:ascii="Verdana" w:hAnsi="Verdana"/>
          <w:sz w:val="22"/>
          <w:lang w:val="es-MX"/>
        </w:rPr>
        <w:t>Nwaru, B. I., Hickstein, L., Panesar,</w:t>
      </w:r>
      <w:r w:rsidR="003A529D" w:rsidRPr="00DF4AEE">
        <w:rPr>
          <w:rFonts w:ascii="Verdana" w:hAnsi="Verdana"/>
          <w:sz w:val="22"/>
          <w:lang w:val="es-MX"/>
        </w:rPr>
        <w:t xml:space="preserve"> S. S., Roberts, G., Muraro, A. y</w:t>
      </w:r>
      <w:r w:rsidRPr="00DF4AEE">
        <w:rPr>
          <w:rFonts w:ascii="Verdana" w:hAnsi="Verdana"/>
          <w:sz w:val="22"/>
          <w:lang w:val="es-MX"/>
        </w:rPr>
        <w:t xml:space="preserve"> Sheikh, A. (2014</w:t>
      </w:r>
      <w:r w:rsidR="003A529D" w:rsidRPr="00DF4AEE">
        <w:rPr>
          <w:rFonts w:ascii="Verdana" w:hAnsi="Verdana"/>
          <w:sz w:val="22"/>
          <w:lang w:val="es-MX"/>
        </w:rPr>
        <w:t>, 10 de mayo</w:t>
      </w:r>
      <w:r w:rsidRPr="00DF4AEE">
        <w:rPr>
          <w:rFonts w:ascii="Verdana" w:hAnsi="Verdana"/>
          <w:sz w:val="22"/>
          <w:lang w:val="es-MX"/>
        </w:rPr>
        <w:t xml:space="preserve">). </w:t>
      </w:r>
      <w:r w:rsidRPr="009D3613">
        <w:rPr>
          <w:rFonts w:ascii="Verdana" w:hAnsi="Verdana"/>
          <w:sz w:val="22"/>
        </w:rPr>
        <w:t>Prevalence of co</w:t>
      </w:r>
      <w:r w:rsidR="003A529D">
        <w:rPr>
          <w:rFonts w:ascii="Verdana" w:hAnsi="Verdana"/>
          <w:sz w:val="22"/>
        </w:rPr>
        <w:t>mmon food allergies in Europe: a</w:t>
      </w:r>
      <w:r w:rsidRPr="009D3613">
        <w:rPr>
          <w:rFonts w:ascii="Verdana" w:hAnsi="Verdana"/>
          <w:sz w:val="22"/>
        </w:rPr>
        <w:t xml:space="preserve"> systematic review and meta-analysis.</w:t>
      </w:r>
      <w:r w:rsidR="00CE7618">
        <w:rPr>
          <w:rFonts w:ascii="Verdana" w:hAnsi="Verdana"/>
          <w:sz w:val="22"/>
        </w:rPr>
        <w:t xml:space="preserve"> </w:t>
      </w:r>
      <w:r w:rsidRPr="00DF4AEE">
        <w:rPr>
          <w:rFonts w:ascii="Verdana" w:hAnsi="Verdana"/>
          <w:i/>
          <w:iCs/>
          <w:sz w:val="22"/>
        </w:rPr>
        <w:t>Allergy</w:t>
      </w:r>
      <w:r w:rsidRPr="00DF4AEE">
        <w:rPr>
          <w:rFonts w:ascii="Verdana" w:hAnsi="Verdana"/>
          <w:sz w:val="22"/>
        </w:rPr>
        <w:t>,</w:t>
      </w:r>
      <w:r w:rsidR="00CE7618">
        <w:rPr>
          <w:rFonts w:ascii="Verdana" w:hAnsi="Verdana"/>
          <w:sz w:val="22"/>
        </w:rPr>
        <w:t xml:space="preserve"> </w:t>
      </w:r>
      <w:r w:rsidRPr="00DF4AEE">
        <w:rPr>
          <w:rFonts w:ascii="Verdana" w:hAnsi="Verdana"/>
          <w:i/>
          <w:iCs/>
          <w:sz w:val="22"/>
        </w:rPr>
        <w:t>69</w:t>
      </w:r>
      <w:r w:rsidRPr="00DF4AEE">
        <w:rPr>
          <w:rFonts w:ascii="Verdana" w:hAnsi="Verdana"/>
          <w:sz w:val="22"/>
        </w:rPr>
        <w:t>(8), 992</w:t>
      </w:r>
      <w:r w:rsidR="00CE7618">
        <w:rPr>
          <w:rFonts w:ascii="Verdana" w:hAnsi="Verdana"/>
          <w:sz w:val="22"/>
        </w:rPr>
        <w:t>-</w:t>
      </w:r>
      <w:r w:rsidRPr="00DF4AEE">
        <w:rPr>
          <w:rFonts w:ascii="Verdana" w:hAnsi="Verdana"/>
          <w:sz w:val="22"/>
        </w:rPr>
        <w:t>1007.</w:t>
      </w:r>
      <w:r w:rsidR="00CE7618">
        <w:rPr>
          <w:rFonts w:ascii="Verdana" w:hAnsi="Verdana"/>
          <w:sz w:val="22"/>
        </w:rPr>
        <w:t xml:space="preserve"> </w:t>
      </w:r>
      <w:hyperlink r:id="rId23" w:history="1">
        <w:r w:rsidR="00CE7618" w:rsidRPr="00417B8E">
          <w:rPr>
            <w:rStyle w:val="Hipervnculo"/>
            <w:rFonts w:ascii="Verdana" w:hAnsi="Verdana"/>
            <w:sz w:val="22"/>
          </w:rPr>
          <w:t>https://doi.org/10.1111/all.12423</w:t>
        </w:r>
      </w:hyperlink>
    </w:p>
    <w:p w14:paraId="586FD218" w14:textId="77777777" w:rsidR="00826FC0" w:rsidRPr="00DF4AEE" w:rsidRDefault="00826FC0" w:rsidP="00DF4AEE">
      <w:pPr>
        <w:spacing w:after="0" w:line="240" w:lineRule="auto"/>
        <w:ind w:left="720"/>
        <w:jc w:val="both"/>
        <w:rPr>
          <w:rFonts w:ascii="Verdana" w:hAnsi="Verdana"/>
          <w:sz w:val="22"/>
        </w:rPr>
      </w:pPr>
    </w:p>
    <w:p w14:paraId="54DBC7F2" w14:textId="7AF7E031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DF4AEE">
        <w:rPr>
          <w:rFonts w:ascii="Verdana" w:hAnsi="Verdana"/>
          <w:sz w:val="22"/>
        </w:rPr>
        <w:t>Pajno, G. B., Fern</w:t>
      </w:r>
      <w:r w:rsidR="00CE7618">
        <w:rPr>
          <w:rFonts w:ascii="Verdana" w:hAnsi="Verdana"/>
          <w:sz w:val="22"/>
        </w:rPr>
        <w:t>á</w:t>
      </w:r>
      <w:r w:rsidRPr="00DF4AEE">
        <w:rPr>
          <w:rFonts w:ascii="Verdana" w:hAnsi="Verdana"/>
          <w:sz w:val="22"/>
        </w:rPr>
        <w:t xml:space="preserve">ndez, M., Arasi, S., Roberts, G., Akdis, C. A., </w:t>
      </w:r>
      <w:r w:rsidR="00CE7618">
        <w:rPr>
          <w:rFonts w:ascii="Verdana" w:hAnsi="Verdana"/>
          <w:sz w:val="22"/>
        </w:rPr>
        <w:t>Á</w:t>
      </w:r>
      <w:r w:rsidRPr="00DF4AEE">
        <w:rPr>
          <w:rFonts w:ascii="Verdana" w:hAnsi="Verdana"/>
          <w:sz w:val="22"/>
        </w:rPr>
        <w:t>lvaro, M.,</w:t>
      </w:r>
      <w:r w:rsidR="003A529D" w:rsidRPr="00DF4AEE">
        <w:rPr>
          <w:rFonts w:ascii="Verdana" w:hAnsi="Verdana"/>
          <w:sz w:val="22"/>
        </w:rPr>
        <w:t xml:space="preserve"> Beyer, K., Bindslev-Jensen, C., Burks, W., Ebisawa, M., Eigenmann, P., Knol, E., </w:t>
      </w:r>
      <w:r w:rsidR="003A529D" w:rsidRPr="00DF4AEE">
        <w:rPr>
          <w:rFonts w:ascii="Verdana" w:hAnsi="Verdana"/>
          <w:sz w:val="22"/>
        </w:rPr>
        <w:lastRenderedPageBreak/>
        <w:t>Nadeau, K. C., Poulsen, L. K., Van Ree, R., Santos, A. F., Du Toit, G., Dhami, S., Nurmatov, U. y Muraro, A.</w:t>
      </w:r>
      <w:r w:rsidRPr="009D3613">
        <w:rPr>
          <w:rFonts w:ascii="Verdana" w:hAnsi="Verdana"/>
          <w:sz w:val="22"/>
        </w:rPr>
        <w:t xml:space="preserve"> (2018</w:t>
      </w:r>
      <w:r w:rsidR="003A529D">
        <w:rPr>
          <w:rFonts w:ascii="Verdana" w:hAnsi="Verdana"/>
          <w:sz w:val="22"/>
        </w:rPr>
        <w:t>, abril</w:t>
      </w:r>
      <w:r w:rsidRPr="009D3613">
        <w:rPr>
          <w:rFonts w:ascii="Verdana" w:hAnsi="Verdana"/>
          <w:sz w:val="22"/>
        </w:rPr>
        <w:t>).</w:t>
      </w:r>
      <w:r w:rsidR="00CE7618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Allergy</w:t>
      </w:r>
      <w:r w:rsidRPr="009D3613">
        <w:rPr>
          <w:rFonts w:ascii="Verdana" w:hAnsi="Verdana"/>
          <w:sz w:val="22"/>
        </w:rPr>
        <w:t>,</w:t>
      </w:r>
      <w:r w:rsidR="00CE7618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73</w:t>
      </w:r>
      <w:r w:rsidRPr="009D3613">
        <w:rPr>
          <w:rFonts w:ascii="Verdana" w:hAnsi="Verdana"/>
          <w:sz w:val="22"/>
        </w:rPr>
        <w:t>(4), 799</w:t>
      </w:r>
      <w:r w:rsidR="00CE7618">
        <w:rPr>
          <w:rFonts w:ascii="Verdana" w:hAnsi="Verdana"/>
          <w:sz w:val="22"/>
        </w:rPr>
        <w:t>-</w:t>
      </w:r>
      <w:r w:rsidRPr="009D3613">
        <w:rPr>
          <w:rFonts w:ascii="Verdana" w:hAnsi="Verdana"/>
          <w:sz w:val="22"/>
        </w:rPr>
        <w:t>815.</w:t>
      </w:r>
      <w:r w:rsidR="00CE7618">
        <w:rPr>
          <w:rFonts w:ascii="Verdana" w:hAnsi="Verdana"/>
          <w:sz w:val="22"/>
        </w:rPr>
        <w:t xml:space="preserve"> </w:t>
      </w:r>
      <w:hyperlink r:id="rId24" w:history="1">
        <w:r w:rsidR="00CE7618" w:rsidRPr="00417B8E">
          <w:rPr>
            <w:rStyle w:val="Hipervnculo"/>
            <w:rFonts w:ascii="Verdana" w:hAnsi="Verdana"/>
            <w:sz w:val="22"/>
          </w:rPr>
          <w:t>https://doi.org/10.1111/all.13319</w:t>
        </w:r>
      </w:hyperlink>
    </w:p>
    <w:p w14:paraId="0E9277F8" w14:textId="77777777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</w:p>
    <w:p w14:paraId="24110B89" w14:textId="66984B3A" w:rsidR="00826FC0" w:rsidRPr="00DF4AEE" w:rsidRDefault="00C232CE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  <w:r>
        <w:rPr>
          <w:rFonts w:ascii="Verdana" w:hAnsi="Verdana"/>
          <w:sz w:val="22"/>
        </w:rPr>
        <w:t xml:space="preserve">The </w:t>
      </w:r>
      <w:r w:rsidR="00826FC0" w:rsidRPr="009D3613">
        <w:rPr>
          <w:rFonts w:ascii="Verdana" w:hAnsi="Verdana"/>
          <w:sz w:val="22"/>
        </w:rPr>
        <w:t>PALISADE Group of Clinical Investigators. (2018</w:t>
      </w:r>
      <w:r>
        <w:rPr>
          <w:rFonts w:ascii="Verdana" w:hAnsi="Verdana"/>
          <w:sz w:val="22"/>
        </w:rPr>
        <w:t>, 18 de noviembre</w:t>
      </w:r>
      <w:r w:rsidR="00826FC0" w:rsidRPr="009D3613">
        <w:rPr>
          <w:rFonts w:ascii="Verdana" w:hAnsi="Verdana"/>
          <w:sz w:val="22"/>
        </w:rPr>
        <w:t>). AR101 oral immunotherapy for peanut allergy.</w:t>
      </w:r>
      <w:r w:rsidR="00CE7618">
        <w:rPr>
          <w:rFonts w:ascii="Verdana" w:hAnsi="Verdana"/>
          <w:sz w:val="22"/>
        </w:rPr>
        <w:t xml:space="preserve"> </w:t>
      </w:r>
      <w:r w:rsidR="00CE7618">
        <w:rPr>
          <w:rFonts w:ascii="Verdana" w:hAnsi="Verdana"/>
          <w:i/>
          <w:iCs/>
          <w:sz w:val="22"/>
        </w:rPr>
        <w:t>The N</w:t>
      </w:r>
      <w:r w:rsidR="00826FC0" w:rsidRPr="009D3613">
        <w:rPr>
          <w:rFonts w:ascii="Verdana" w:hAnsi="Verdana"/>
          <w:i/>
          <w:iCs/>
          <w:sz w:val="22"/>
        </w:rPr>
        <w:t>ew England Journal of Medicine</w:t>
      </w:r>
      <w:r w:rsidR="00826FC0" w:rsidRPr="009D3613">
        <w:rPr>
          <w:rFonts w:ascii="Verdana" w:hAnsi="Verdana"/>
          <w:sz w:val="22"/>
        </w:rPr>
        <w:t>,</w:t>
      </w:r>
      <w:r w:rsidR="00CE7618">
        <w:rPr>
          <w:rFonts w:ascii="Verdana" w:hAnsi="Verdana"/>
          <w:sz w:val="22"/>
        </w:rPr>
        <w:t xml:space="preserve"> </w:t>
      </w:r>
      <w:r w:rsidR="00826FC0" w:rsidRPr="009D3613">
        <w:rPr>
          <w:rFonts w:ascii="Verdana" w:hAnsi="Verdana"/>
          <w:i/>
          <w:iCs/>
          <w:sz w:val="22"/>
        </w:rPr>
        <w:t>379</w:t>
      </w:r>
      <w:r w:rsidR="00826FC0" w:rsidRPr="009D3613">
        <w:rPr>
          <w:rFonts w:ascii="Verdana" w:hAnsi="Verdana"/>
          <w:sz w:val="22"/>
        </w:rPr>
        <w:t>(21), 1991</w:t>
      </w:r>
      <w:r w:rsidR="00CE7618">
        <w:rPr>
          <w:rFonts w:ascii="Verdana" w:hAnsi="Verdana"/>
          <w:sz w:val="22"/>
        </w:rPr>
        <w:t>-</w:t>
      </w:r>
      <w:r w:rsidR="00826FC0" w:rsidRPr="009D3613">
        <w:rPr>
          <w:rFonts w:ascii="Verdana" w:hAnsi="Verdana"/>
          <w:sz w:val="22"/>
        </w:rPr>
        <w:t>2001.</w:t>
      </w:r>
      <w:r w:rsidR="00CE7618">
        <w:rPr>
          <w:rFonts w:ascii="Verdana" w:hAnsi="Verdana"/>
          <w:sz w:val="22"/>
        </w:rPr>
        <w:t xml:space="preserve"> </w:t>
      </w:r>
      <w:hyperlink r:id="rId25" w:history="1">
        <w:r w:rsidR="00CE7618" w:rsidRPr="00417B8E">
          <w:rPr>
            <w:rStyle w:val="Hipervnculo"/>
            <w:rFonts w:ascii="Verdana" w:hAnsi="Verdana"/>
            <w:sz w:val="22"/>
            <w:lang w:val="es-MX"/>
          </w:rPr>
          <w:t>https://doi.org/10.1056/NEJMoa1812856</w:t>
        </w:r>
      </w:hyperlink>
    </w:p>
    <w:p w14:paraId="3CF44137" w14:textId="77777777" w:rsidR="00826FC0" w:rsidRPr="00DF4AEE" w:rsidRDefault="00826FC0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</w:p>
    <w:p w14:paraId="0176A889" w14:textId="09A17E40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  <w:lang w:val="es-MX"/>
        </w:rPr>
      </w:pPr>
      <w:r w:rsidRPr="00DF4AEE">
        <w:rPr>
          <w:rFonts w:ascii="Verdana" w:hAnsi="Verdana"/>
          <w:sz w:val="22"/>
          <w:lang w:val="es-MX"/>
        </w:rPr>
        <w:t xml:space="preserve">Rafi, A., Do, L. T., Katz, R., </w:t>
      </w:r>
      <w:r w:rsidR="00C232CE" w:rsidRPr="00DF4AEE">
        <w:rPr>
          <w:rFonts w:ascii="Verdana" w:hAnsi="Verdana"/>
          <w:sz w:val="22"/>
          <w:lang w:val="es-MX"/>
        </w:rPr>
        <w:t>Sheinkopf, L. E., Simons, C. W. y</w:t>
      </w:r>
      <w:r w:rsidRPr="00DF4AEE">
        <w:rPr>
          <w:rFonts w:ascii="Verdana" w:hAnsi="Verdana"/>
          <w:sz w:val="22"/>
          <w:lang w:val="es-MX"/>
        </w:rPr>
        <w:t xml:space="preserve"> Klaustermeyer, W. (2010</w:t>
      </w:r>
      <w:r w:rsidR="00C232CE" w:rsidRPr="00DF4AEE">
        <w:rPr>
          <w:rFonts w:ascii="Verdana" w:hAnsi="Verdana"/>
          <w:sz w:val="22"/>
          <w:lang w:val="es-MX"/>
        </w:rPr>
        <w:t>, enero-febrero</w:t>
      </w:r>
      <w:r w:rsidRPr="00DF4AEE">
        <w:rPr>
          <w:rFonts w:ascii="Verdana" w:hAnsi="Verdana"/>
          <w:sz w:val="22"/>
          <w:lang w:val="es-MX"/>
        </w:rPr>
        <w:t xml:space="preserve">). </w:t>
      </w:r>
      <w:r w:rsidRPr="009D3613">
        <w:rPr>
          <w:rFonts w:ascii="Verdana" w:hAnsi="Verdana"/>
          <w:sz w:val="22"/>
        </w:rPr>
        <w:t>Effects of omalizumab in patients with food allergy.</w:t>
      </w:r>
      <w:r w:rsidR="00CE7618">
        <w:rPr>
          <w:rFonts w:ascii="Verdana" w:hAnsi="Verdana"/>
          <w:sz w:val="22"/>
        </w:rPr>
        <w:t xml:space="preserve"> </w:t>
      </w:r>
      <w:r w:rsidR="00C232CE">
        <w:rPr>
          <w:rFonts w:ascii="Verdana" w:hAnsi="Verdana"/>
          <w:i/>
          <w:iCs/>
          <w:sz w:val="22"/>
        </w:rPr>
        <w:t>Allergy and</w:t>
      </w:r>
      <w:r w:rsidRPr="009D3613">
        <w:rPr>
          <w:rFonts w:ascii="Verdana" w:hAnsi="Verdana"/>
          <w:i/>
          <w:iCs/>
          <w:sz w:val="22"/>
        </w:rPr>
        <w:t xml:space="preserve"> Asthma Proceedings</w:t>
      </w:r>
      <w:r w:rsidRPr="009D3613">
        <w:rPr>
          <w:rFonts w:ascii="Verdana" w:hAnsi="Verdana"/>
          <w:sz w:val="22"/>
        </w:rPr>
        <w:t>,</w:t>
      </w:r>
      <w:r w:rsidR="00CE7618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31</w:t>
      </w:r>
      <w:r w:rsidRPr="009D3613">
        <w:rPr>
          <w:rFonts w:ascii="Verdana" w:hAnsi="Verdana"/>
          <w:sz w:val="22"/>
        </w:rPr>
        <w:t>(1), 1</w:t>
      </w:r>
      <w:r w:rsidR="00CE7618">
        <w:rPr>
          <w:rFonts w:ascii="Verdana" w:hAnsi="Verdana"/>
          <w:sz w:val="22"/>
        </w:rPr>
        <w:t>-</w:t>
      </w:r>
      <w:r w:rsidRPr="009D3613">
        <w:rPr>
          <w:rFonts w:ascii="Verdana" w:hAnsi="Verdana"/>
          <w:sz w:val="22"/>
        </w:rPr>
        <w:t>6.</w:t>
      </w:r>
      <w:r w:rsidR="00CE7618">
        <w:rPr>
          <w:rFonts w:ascii="Verdana" w:hAnsi="Verdana"/>
          <w:sz w:val="22"/>
        </w:rPr>
        <w:t xml:space="preserve"> </w:t>
      </w:r>
      <w:hyperlink r:id="rId26" w:history="1">
        <w:r w:rsidR="00CE7618" w:rsidRPr="00417B8E">
          <w:rPr>
            <w:rStyle w:val="Hipervnculo"/>
            <w:rFonts w:ascii="Verdana" w:hAnsi="Verdana"/>
            <w:sz w:val="22"/>
            <w:lang w:val="es-MX"/>
          </w:rPr>
          <w:t>https://doi.org/10.2500/aap.2010.31.3304</w:t>
        </w:r>
      </w:hyperlink>
    </w:p>
    <w:p w14:paraId="402C432C" w14:textId="77777777" w:rsidR="00826FC0" w:rsidRPr="009D3613" w:rsidRDefault="00826FC0" w:rsidP="00DF4AEE">
      <w:pPr>
        <w:spacing w:after="0" w:line="240" w:lineRule="auto"/>
        <w:ind w:left="720"/>
        <w:jc w:val="both"/>
        <w:rPr>
          <w:rFonts w:ascii="Verdana" w:hAnsi="Verdana"/>
          <w:sz w:val="22"/>
          <w:lang w:val="es-MX"/>
        </w:rPr>
      </w:pPr>
    </w:p>
    <w:p w14:paraId="7D19B9B0" w14:textId="2CF83C97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9D3613">
        <w:rPr>
          <w:rFonts w:ascii="Verdana" w:hAnsi="Verdana"/>
          <w:sz w:val="22"/>
          <w:lang w:val="es-MX"/>
        </w:rPr>
        <w:t>Rocha, R., Vitor, A. B., Trindade, E., L</w:t>
      </w:r>
      <w:r w:rsidR="00C232CE">
        <w:rPr>
          <w:rFonts w:ascii="Verdana" w:hAnsi="Verdana"/>
          <w:sz w:val="22"/>
          <w:lang w:val="es-MX"/>
        </w:rPr>
        <w:t>ima, R., Tavares, M., Lopes, J. y</w:t>
      </w:r>
      <w:r w:rsidRPr="009D3613">
        <w:rPr>
          <w:rFonts w:ascii="Verdana" w:hAnsi="Verdana"/>
          <w:sz w:val="22"/>
          <w:lang w:val="es-MX"/>
        </w:rPr>
        <w:t xml:space="preserve"> Dias, J. A. (2011</w:t>
      </w:r>
      <w:r w:rsidR="00F71EF2">
        <w:rPr>
          <w:rFonts w:ascii="Verdana" w:hAnsi="Verdana"/>
          <w:sz w:val="22"/>
          <w:lang w:val="es-MX"/>
        </w:rPr>
        <w:t>, 2 de agosto</w:t>
      </w:r>
      <w:r w:rsidRPr="009D3613">
        <w:rPr>
          <w:rFonts w:ascii="Verdana" w:hAnsi="Verdana"/>
          <w:sz w:val="22"/>
          <w:lang w:val="es-MX"/>
        </w:rPr>
        <w:t xml:space="preserve">). </w:t>
      </w:r>
      <w:r w:rsidRPr="009D3613">
        <w:rPr>
          <w:rFonts w:ascii="Verdana" w:hAnsi="Verdana"/>
          <w:sz w:val="22"/>
        </w:rPr>
        <w:t>Omalizumab in the treatment of eosinophilic esophagitis and food allergy.</w:t>
      </w:r>
      <w:r w:rsidR="00CE7618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European Journal of Pediatrics</w:t>
      </w:r>
      <w:r w:rsidRPr="009D3613">
        <w:rPr>
          <w:rFonts w:ascii="Verdana" w:hAnsi="Verdana"/>
          <w:sz w:val="22"/>
        </w:rPr>
        <w:t>,</w:t>
      </w:r>
      <w:r w:rsidR="00CE7618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170</w:t>
      </w:r>
      <w:r w:rsidRPr="009D3613">
        <w:rPr>
          <w:rFonts w:ascii="Verdana" w:hAnsi="Verdana"/>
          <w:sz w:val="22"/>
        </w:rPr>
        <w:t>(11), 1471</w:t>
      </w:r>
      <w:r w:rsidR="00CE7618">
        <w:rPr>
          <w:rFonts w:ascii="Verdana" w:hAnsi="Verdana"/>
          <w:sz w:val="22"/>
        </w:rPr>
        <w:t>-</w:t>
      </w:r>
      <w:r w:rsidRPr="009D3613">
        <w:rPr>
          <w:rFonts w:ascii="Verdana" w:hAnsi="Verdana"/>
          <w:sz w:val="22"/>
        </w:rPr>
        <w:t>1474.</w:t>
      </w:r>
      <w:r w:rsidR="00CE7618">
        <w:rPr>
          <w:rFonts w:ascii="Verdana" w:hAnsi="Verdana"/>
          <w:sz w:val="22"/>
        </w:rPr>
        <w:t xml:space="preserve"> </w:t>
      </w:r>
      <w:r w:rsidRPr="00826FC0">
        <w:rPr>
          <w:rStyle w:val="Hipervnculo"/>
          <w:rFonts w:ascii="Verdana" w:hAnsi="Verdana"/>
          <w:sz w:val="22"/>
        </w:rPr>
        <w:t>https://doi.org/10.1007/s00431-011-1540-4</w:t>
      </w:r>
    </w:p>
    <w:p w14:paraId="5EF57DE9" w14:textId="77777777" w:rsidR="00826FC0" w:rsidRPr="009D3613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</w:p>
    <w:p w14:paraId="0AEC3FEB" w14:textId="7D4DFA11" w:rsidR="00826FC0" w:rsidRPr="00826FC0" w:rsidRDefault="00F71EF2" w:rsidP="00DF4AEE">
      <w:pPr>
        <w:spacing w:after="0" w:line="240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Rojas, M. B. y</w:t>
      </w:r>
      <w:r w:rsidR="00826FC0" w:rsidRPr="009D3613">
        <w:rPr>
          <w:rFonts w:ascii="Verdana" w:hAnsi="Verdana"/>
          <w:sz w:val="22"/>
        </w:rPr>
        <w:t xml:space="preserve"> </w:t>
      </w:r>
      <w:r w:rsidR="00A56728" w:rsidRPr="009D3613">
        <w:rPr>
          <w:rFonts w:ascii="Verdana" w:hAnsi="Verdana"/>
          <w:sz w:val="22"/>
        </w:rPr>
        <w:t>Crissinger</w:t>
      </w:r>
      <w:r w:rsidR="00826FC0" w:rsidRPr="009D3613">
        <w:rPr>
          <w:rFonts w:ascii="Verdana" w:hAnsi="Verdana"/>
          <w:sz w:val="22"/>
        </w:rPr>
        <w:t>, K. D. (2020</w:t>
      </w:r>
      <w:r>
        <w:rPr>
          <w:rFonts w:ascii="Verdana" w:hAnsi="Verdana"/>
          <w:sz w:val="22"/>
        </w:rPr>
        <w:t>, 17 de diciembre</w:t>
      </w:r>
      <w:r w:rsidR="00826FC0" w:rsidRPr="009D3613">
        <w:rPr>
          <w:rFonts w:ascii="Verdana" w:hAnsi="Verdana"/>
          <w:sz w:val="22"/>
        </w:rPr>
        <w:t>). Outcomes of infants with severe refractory food protein-induced allergic proctocolitis treated with mesalamine.</w:t>
      </w:r>
      <w:r w:rsidR="00CE7618">
        <w:rPr>
          <w:rFonts w:ascii="Verdana" w:hAnsi="Verdana"/>
          <w:sz w:val="22"/>
        </w:rPr>
        <w:t xml:space="preserve"> </w:t>
      </w:r>
      <w:r w:rsidR="00826FC0" w:rsidRPr="009D3613">
        <w:rPr>
          <w:rFonts w:ascii="Verdana" w:hAnsi="Verdana"/>
          <w:i/>
          <w:iCs/>
          <w:sz w:val="22"/>
        </w:rPr>
        <w:t>JPGN Reports</w:t>
      </w:r>
      <w:r w:rsidR="00826FC0" w:rsidRPr="009D3613">
        <w:rPr>
          <w:rFonts w:ascii="Verdana" w:hAnsi="Verdana"/>
          <w:sz w:val="22"/>
        </w:rPr>
        <w:t>,</w:t>
      </w:r>
      <w:r w:rsidR="00CE7618">
        <w:rPr>
          <w:rFonts w:ascii="Verdana" w:hAnsi="Verdana"/>
          <w:sz w:val="22"/>
        </w:rPr>
        <w:t xml:space="preserve"> </w:t>
      </w:r>
      <w:r w:rsidR="00826FC0" w:rsidRPr="009D3613">
        <w:rPr>
          <w:rFonts w:ascii="Verdana" w:hAnsi="Verdana"/>
          <w:i/>
          <w:iCs/>
          <w:sz w:val="22"/>
        </w:rPr>
        <w:t>2</w:t>
      </w:r>
      <w:r w:rsidR="00826FC0" w:rsidRPr="009D3613">
        <w:rPr>
          <w:rFonts w:ascii="Verdana" w:hAnsi="Verdana"/>
          <w:sz w:val="22"/>
        </w:rPr>
        <w:t>(1), e024.</w:t>
      </w:r>
      <w:r w:rsidR="00CE7618">
        <w:rPr>
          <w:rFonts w:ascii="Verdana" w:hAnsi="Verdana"/>
          <w:sz w:val="22"/>
        </w:rPr>
        <w:t xml:space="preserve"> </w:t>
      </w:r>
      <w:r w:rsidR="00826FC0" w:rsidRPr="00826FC0">
        <w:rPr>
          <w:rStyle w:val="Hipervnculo"/>
          <w:rFonts w:ascii="Verdana" w:hAnsi="Verdana"/>
          <w:sz w:val="22"/>
        </w:rPr>
        <w:t>https://pmc.ncbi.nlm.nih.gov/articles/PMC10191566/</w:t>
      </w:r>
    </w:p>
    <w:p w14:paraId="245CDFE8" w14:textId="77777777" w:rsidR="00826FC0" w:rsidRPr="009D3613" w:rsidRDefault="00826FC0" w:rsidP="00DF4AEE">
      <w:pPr>
        <w:spacing w:after="0" w:line="240" w:lineRule="auto"/>
        <w:ind w:left="720"/>
        <w:jc w:val="both"/>
        <w:rPr>
          <w:rFonts w:ascii="Verdana" w:hAnsi="Verdana"/>
          <w:sz w:val="22"/>
        </w:rPr>
      </w:pPr>
    </w:p>
    <w:p w14:paraId="1A069057" w14:textId="31B3A65C" w:rsidR="00826FC0" w:rsidRPr="00826FC0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9D3613">
        <w:rPr>
          <w:rFonts w:ascii="Verdana" w:hAnsi="Verdana"/>
          <w:sz w:val="22"/>
        </w:rPr>
        <w:t>Wood, R. A. (2017). Oral immunotherapy for food allergy.</w:t>
      </w:r>
      <w:r w:rsidR="00CE7618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Journal of Investigational Allergology and Clinical Immunology</w:t>
      </w:r>
      <w:r w:rsidRPr="009D3613">
        <w:rPr>
          <w:rFonts w:ascii="Verdana" w:hAnsi="Verdana"/>
          <w:sz w:val="22"/>
        </w:rPr>
        <w:t>,</w:t>
      </w:r>
      <w:r w:rsidR="00CE7618">
        <w:rPr>
          <w:rFonts w:ascii="Verdana" w:hAnsi="Verdana"/>
          <w:sz w:val="22"/>
        </w:rPr>
        <w:t xml:space="preserve"> </w:t>
      </w:r>
      <w:r w:rsidRPr="009D3613">
        <w:rPr>
          <w:rFonts w:ascii="Verdana" w:hAnsi="Verdana"/>
          <w:i/>
          <w:iCs/>
          <w:sz w:val="22"/>
        </w:rPr>
        <w:t>27</w:t>
      </w:r>
      <w:r w:rsidRPr="009D3613">
        <w:rPr>
          <w:rFonts w:ascii="Verdana" w:hAnsi="Verdana"/>
          <w:sz w:val="22"/>
        </w:rPr>
        <w:t>(3), 151</w:t>
      </w:r>
      <w:r w:rsidR="00CE7618">
        <w:rPr>
          <w:rFonts w:ascii="Verdana" w:hAnsi="Verdana"/>
          <w:sz w:val="22"/>
        </w:rPr>
        <w:t>-</w:t>
      </w:r>
      <w:r w:rsidRPr="009D3613">
        <w:rPr>
          <w:rFonts w:ascii="Verdana" w:hAnsi="Verdana"/>
          <w:sz w:val="22"/>
        </w:rPr>
        <w:t>159.</w:t>
      </w:r>
      <w:r w:rsidR="00CE7618">
        <w:rPr>
          <w:rFonts w:ascii="Verdana" w:hAnsi="Verdana"/>
          <w:sz w:val="22"/>
        </w:rPr>
        <w:t xml:space="preserve"> </w:t>
      </w:r>
      <w:r w:rsidRPr="00826FC0">
        <w:rPr>
          <w:rStyle w:val="Hipervnculo"/>
          <w:rFonts w:ascii="Verdana" w:hAnsi="Verdana"/>
          <w:sz w:val="22"/>
        </w:rPr>
        <w:t>https://doi.org/10.18176/jiaci.0143</w:t>
      </w:r>
    </w:p>
    <w:p w14:paraId="08DC10E8" w14:textId="77777777" w:rsidR="00826FC0" w:rsidRPr="009D3613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</w:p>
    <w:p w14:paraId="7D8149B4" w14:textId="45949517" w:rsidR="00826FC0" w:rsidRPr="00DF4AEE" w:rsidRDefault="00826FC0" w:rsidP="00DF4AEE">
      <w:pPr>
        <w:spacing w:after="0" w:line="240" w:lineRule="auto"/>
        <w:jc w:val="both"/>
        <w:rPr>
          <w:rFonts w:ascii="Verdana" w:hAnsi="Verdana"/>
          <w:sz w:val="22"/>
        </w:rPr>
      </w:pPr>
      <w:r w:rsidRPr="009D3613">
        <w:rPr>
          <w:rFonts w:ascii="Verdana" w:hAnsi="Verdana"/>
          <w:sz w:val="22"/>
        </w:rPr>
        <w:t xml:space="preserve">Wood, R. A., Chinthrajah, R. S., Eggel, A., Bottoli, I., Gautier, A., Woisetschlaeger, M., </w:t>
      </w:r>
      <w:r w:rsidR="004647FD">
        <w:rPr>
          <w:rFonts w:ascii="Verdana" w:hAnsi="Verdana"/>
          <w:sz w:val="22"/>
        </w:rPr>
        <w:t>Tassinari, P. y</w:t>
      </w:r>
      <w:r w:rsidRPr="009D3613">
        <w:rPr>
          <w:rFonts w:ascii="Verdana" w:hAnsi="Verdana"/>
          <w:sz w:val="22"/>
        </w:rPr>
        <w:t xml:space="preserve"> Altman, P. (2022</w:t>
      </w:r>
      <w:r w:rsidR="004647FD">
        <w:rPr>
          <w:rFonts w:ascii="Verdana" w:hAnsi="Verdana"/>
          <w:sz w:val="22"/>
        </w:rPr>
        <w:t>, septiembre</w:t>
      </w:r>
      <w:r w:rsidRPr="009D3613">
        <w:rPr>
          <w:rFonts w:ascii="Verdana" w:hAnsi="Verdana"/>
          <w:sz w:val="22"/>
        </w:rPr>
        <w:t>). The rationale for development of ligelizumab in food allergy.</w:t>
      </w:r>
      <w:r w:rsidR="000A3D50">
        <w:rPr>
          <w:rFonts w:ascii="Verdana" w:hAnsi="Verdana"/>
          <w:sz w:val="22"/>
        </w:rPr>
        <w:t xml:space="preserve"> </w:t>
      </w:r>
      <w:r w:rsidRPr="00850578">
        <w:rPr>
          <w:rFonts w:ascii="Verdana" w:hAnsi="Verdana"/>
          <w:i/>
          <w:iCs/>
          <w:sz w:val="22"/>
        </w:rPr>
        <w:t>World Allergy Organization Journal</w:t>
      </w:r>
      <w:r w:rsidRPr="00850578">
        <w:rPr>
          <w:rFonts w:ascii="Verdana" w:hAnsi="Verdana"/>
          <w:sz w:val="22"/>
        </w:rPr>
        <w:t>,</w:t>
      </w:r>
      <w:r w:rsidR="000A3D50">
        <w:rPr>
          <w:rFonts w:ascii="Verdana" w:hAnsi="Verdana"/>
          <w:sz w:val="22"/>
        </w:rPr>
        <w:t xml:space="preserve"> </w:t>
      </w:r>
      <w:r w:rsidRPr="00850578">
        <w:rPr>
          <w:rFonts w:ascii="Verdana" w:hAnsi="Verdana"/>
          <w:i/>
          <w:iCs/>
          <w:sz w:val="22"/>
        </w:rPr>
        <w:t>15</w:t>
      </w:r>
      <w:r w:rsidRPr="00850578">
        <w:rPr>
          <w:rFonts w:ascii="Verdana" w:hAnsi="Verdana"/>
          <w:sz w:val="22"/>
        </w:rPr>
        <w:t>(9), 100690.</w:t>
      </w:r>
      <w:hyperlink r:id="rId27" w:history="1">
        <w:r w:rsidR="000A3D50" w:rsidRPr="00417B8E">
          <w:rPr>
            <w:rStyle w:val="Hipervnculo"/>
            <w:rFonts w:ascii="Verdana" w:hAnsi="Verdana"/>
            <w:sz w:val="22"/>
          </w:rPr>
          <w:t>https://doi.org/10.1016/j.waojou.2022.100690</w:t>
        </w:r>
      </w:hyperlink>
    </w:p>
    <w:p w14:paraId="3455687F" w14:textId="77777777" w:rsidR="00470685" w:rsidRPr="00DF4AEE" w:rsidRDefault="00470685" w:rsidP="00DF4AEE">
      <w:pPr>
        <w:spacing w:after="0" w:line="240" w:lineRule="auto"/>
        <w:rPr>
          <w:rFonts w:ascii="Verdana" w:hAnsi="Verdana"/>
          <w:sz w:val="22"/>
        </w:rPr>
      </w:pPr>
    </w:p>
    <w:p w14:paraId="5AF0BFA0" w14:textId="51774C28" w:rsidR="008B4C4C" w:rsidRPr="00DF4AEE" w:rsidRDefault="008B4C4C" w:rsidP="00DF4AEE">
      <w:pPr>
        <w:spacing w:after="0" w:line="240" w:lineRule="auto"/>
        <w:rPr>
          <w:rFonts w:ascii="Verdana" w:hAnsi="Verdana"/>
          <w:i/>
          <w:sz w:val="22"/>
        </w:rPr>
      </w:pPr>
      <w:r w:rsidRPr="00DF4AEE">
        <w:rPr>
          <w:rFonts w:ascii="Verdana" w:hAnsi="Verdana"/>
          <w:i/>
          <w:sz w:val="22"/>
        </w:rPr>
        <w:t>Sitio electrónico</w:t>
      </w:r>
    </w:p>
    <w:p w14:paraId="60F44AD1" w14:textId="77777777" w:rsidR="008B4C4C" w:rsidRPr="00DF4AEE" w:rsidRDefault="008B4C4C" w:rsidP="00DF4AEE">
      <w:pPr>
        <w:spacing w:after="0" w:line="240" w:lineRule="auto"/>
        <w:rPr>
          <w:rFonts w:ascii="Verdana" w:hAnsi="Verdana"/>
          <w:sz w:val="22"/>
        </w:rPr>
      </w:pPr>
    </w:p>
    <w:p w14:paraId="058B816E" w14:textId="4F0DDFB5" w:rsidR="008B4C4C" w:rsidRPr="00DF4AEE" w:rsidRDefault="008B4C4C" w:rsidP="000A3D50">
      <w:pPr>
        <w:spacing w:after="0" w:line="240" w:lineRule="auto"/>
        <w:jc w:val="both"/>
        <w:rPr>
          <w:rFonts w:ascii="Verdana" w:hAnsi="Verdana"/>
          <w:sz w:val="22"/>
        </w:rPr>
      </w:pPr>
      <w:r w:rsidRPr="000A3D50">
        <w:rPr>
          <w:rFonts w:ascii="Verdana" w:hAnsi="Verdana"/>
          <w:i/>
          <w:iCs/>
          <w:sz w:val="22"/>
        </w:rPr>
        <w:t>Australian Society of Clinical Immunology and Allergy.</w:t>
      </w:r>
      <w:r w:rsidRPr="00E6692E">
        <w:rPr>
          <w:rFonts w:ascii="Verdana" w:hAnsi="Verdana"/>
          <w:sz w:val="22"/>
        </w:rPr>
        <w:t xml:space="preserve"> (2024).</w:t>
      </w:r>
      <w:r w:rsidR="000A3D50">
        <w:rPr>
          <w:rFonts w:ascii="Verdana" w:hAnsi="Verdana"/>
          <w:sz w:val="22"/>
        </w:rPr>
        <w:t xml:space="preserve"> Sección: </w:t>
      </w:r>
      <w:r w:rsidRPr="000A3D50">
        <w:rPr>
          <w:rFonts w:ascii="Verdana" w:hAnsi="Verdana"/>
          <w:sz w:val="22"/>
        </w:rPr>
        <w:t>Oral immunotherapy for food allergy</w:t>
      </w:r>
      <w:r w:rsidR="000A3D50">
        <w:rPr>
          <w:rFonts w:ascii="Verdana" w:hAnsi="Verdana"/>
          <w:sz w:val="22"/>
        </w:rPr>
        <w:t>/</w:t>
      </w:r>
      <w:r w:rsidR="000A3D50" w:rsidRPr="000A3D50">
        <w:rPr>
          <w:rFonts w:ascii="Verdana" w:hAnsi="Verdana"/>
          <w:sz w:val="22"/>
        </w:rPr>
        <w:t>Frequently asked questions</w:t>
      </w:r>
      <w:r w:rsidRPr="000A3D50">
        <w:rPr>
          <w:rFonts w:ascii="Verdana" w:hAnsi="Verdana"/>
          <w:sz w:val="22"/>
        </w:rPr>
        <w:t>.</w:t>
      </w:r>
      <w:r w:rsidR="000A3D50">
        <w:rPr>
          <w:rFonts w:ascii="Verdana" w:hAnsi="Verdana"/>
          <w:sz w:val="22"/>
        </w:rPr>
        <w:t xml:space="preserve"> </w:t>
      </w:r>
      <w:hyperlink r:id="rId28" w:history="1">
        <w:r w:rsidR="000A3D50" w:rsidRPr="00417B8E">
          <w:rPr>
            <w:rStyle w:val="Hipervnculo"/>
            <w:rFonts w:ascii="Verdana" w:hAnsi="Verdana"/>
            <w:sz w:val="22"/>
          </w:rPr>
          <w:t>https://www.allergy.org.au/patients/allergy-treatments/oral-immunotherapy-for-food-allergy</w:t>
        </w:r>
      </w:hyperlink>
    </w:p>
    <w:p w14:paraId="53F112BB" w14:textId="77777777" w:rsidR="008B4C4C" w:rsidRPr="00DF4AEE" w:rsidRDefault="008B4C4C" w:rsidP="00DF4AEE">
      <w:pPr>
        <w:spacing w:after="0" w:line="240" w:lineRule="auto"/>
        <w:rPr>
          <w:rFonts w:ascii="Verdana" w:hAnsi="Verdana"/>
          <w:sz w:val="22"/>
        </w:rPr>
      </w:pPr>
    </w:p>
    <w:p w14:paraId="07C6876D" w14:textId="77777777" w:rsidR="00826FC0" w:rsidRPr="00672EC1" w:rsidRDefault="00826FC0" w:rsidP="00DF4AEE">
      <w:pPr>
        <w:pStyle w:val="Ttulo1"/>
        <w:spacing w:before="0" w:line="240" w:lineRule="auto"/>
        <w:jc w:val="both"/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672EC1">
        <w:rPr>
          <w:rFonts w:ascii="Verdana" w:hAnsi="Verdana"/>
          <w:b/>
          <w:bCs/>
          <w:color w:val="000000" w:themeColor="text1"/>
          <w:sz w:val="22"/>
          <w:szCs w:val="22"/>
        </w:rPr>
        <w:t>Cómo citar este documento</w:t>
      </w:r>
    </w:p>
    <w:p w14:paraId="66461199" w14:textId="77777777" w:rsidR="00826FC0" w:rsidRPr="00672EC1" w:rsidRDefault="00826FC0" w:rsidP="00DF4AEE">
      <w:pPr>
        <w:spacing w:after="0" w:line="240" w:lineRule="auto"/>
        <w:ind w:right="112"/>
        <w:jc w:val="both"/>
        <w:rPr>
          <w:rFonts w:ascii="Verdana" w:hAnsi="Verdana"/>
          <w:color w:val="000000" w:themeColor="text1"/>
          <w:sz w:val="22"/>
          <w:lang w:val="es-MX"/>
        </w:rPr>
      </w:pPr>
    </w:p>
    <w:p w14:paraId="291E12D8" w14:textId="6BA2E19B" w:rsidR="00826FC0" w:rsidRPr="00F24D61" w:rsidRDefault="00826FC0" w:rsidP="00DF4AEE">
      <w:pPr>
        <w:shd w:val="clear" w:color="auto" w:fill="D9D9D9" w:themeFill="background1" w:themeFillShade="D9"/>
        <w:spacing w:after="0" w:line="240" w:lineRule="auto"/>
        <w:ind w:right="-62"/>
        <w:jc w:val="both"/>
        <w:rPr>
          <w:rFonts w:ascii="Verdana" w:hAnsi="Verdana"/>
          <w:color w:val="000000" w:themeColor="text1"/>
          <w:sz w:val="22"/>
          <w:lang w:val="es-MX"/>
        </w:rPr>
      </w:pPr>
      <w:r w:rsidRPr="00826FC0">
        <w:rPr>
          <w:rFonts w:ascii="Verdana" w:hAnsi="Verdana"/>
          <w:color w:val="000000" w:themeColor="text1"/>
          <w:sz w:val="22"/>
          <w:lang w:val="es-MX"/>
        </w:rPr>
        <w:t>Macouzet</w:t>
      </w:r>
      <w:r w:rsidR="004647FD">
        <w:rPr>
          <w:rFonts w:ascii="Verdana" w:hAnsi="Verdana"/>
          <w:color w:val="000000" w:themeColor="text1"/>
          <w:sz w:val="22"/>
          <w:lang w:val="es-MX"/>
        </w:rPr>
        <w:t>, C. y</w:t>
      </w:r>
      <w:r w:rsidRPr="00826FC0">
        <w:rPr>
          <w:rFonts w:ascii="Verdana" w:hAnsi="Verdana"/>
          <w:color w:val="000000" w:themeColor="text1"/>
          <w:sz w:val="22"/>
          <w:lang w:val="es-MX"/>
        </w:rPr>
        <w:t xml:space="preserve"> Macías</w:t>
      </w:r>
      <w:r w:rsidR="004647FD">
        <w:rPr>
          <w:rFonts w:ascii="Verdana" w:hAnsi="Verdana"/>
          <w:color w:val="000000" w:themeColor="text1"/>
          <w:sz w:val="22"/>
          <w:lang w:val="es-MX"/>
        </w:rPr>
        <w:t>,</w:t>
      </w:r>
      <w:r w:rsidRPr="00826FC0">
        <w:rPr>
          <w:rFonts w:ascii="Verdana" w:hAnsi="Verdana"/>
          <w:color w:val="000000" w:themeColor="text1"/>
          <w:sz w:val="22"/>
          <w:lang w:val="es-MX"/>
        </w:rPr>
        <w:t xml:space="preserve"> A. (2025). Otros tratamientos. </w:t>
      </w:r>
      <w:r w:rsidR="004647FD">
        <w:rPr>
          <w:rFonts w:ascii="Verdana" w:hAnsi="Verdana"/>
          <w:i/>
          <w:color w:val="000000" w:themeColor="text1"/>
          <w:sz w:val="22"/>
          <w:lang w:val="es-MX"/>
        </w:rPr>
        <w:t>Alergia A</w:t>
      </w:r>
      <w:r w:rsidRPr="00826FC0">
        <w:rPr>
          <w:rFonts w:ascii="Verdana" w:hAnsi="Verdana"/>
          <w:i/>
          <w:color w:val="000000" w:themeColor="text1"/>
          <w:sz w:val="22"/>
          <w:lang w:val="es-MX"/>
        </w:rPr>
        <w:t>limentaria</w:t>
      </w:r>
      <w:r w:rsidRPr="00826FC0">
        <w:rPr>
          <w:rFonts w:ascii="Verdana" w:hAnsi="Verdana"/>
          <w:color w:val="000000" w:themeColor="text1"/>
          <w:sz w:val="22"/>
          <w:lang w:val="es-MX"/>
        </w:rPr>
        <w:t xml:space="preserve">. </w:t>
      </w:r>
      <w:r w:rsidRPr="00F24D61">
        <w:rPr>
          <w:rFonts w:ascii="Verdana" w:hAnsi="Verdana"/>
          <w:color w:val="000000" w:themeColor="text1"/>
          <w:sz w:val="22"/>
          <w:lang w:val="es-MX"/>
        </w:rPr>
        <w:t>Facultad de Medicina-UNAM. [Vínculo]</w:t>
      </w:r>
    </w:p>
    <w:p w14:paraId="4A8393D1" w14:textId="13FC0188" w:rsidR="004647FD" w:rsidRDefault="004647FD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b/>
          <w:bCs/>
          <w:color w:val="000000" w:themeColor="text1"/>
          <w:sz w:val="22"/>
          <w:lang w:val="es-MX"/>
        </w:rPr>
      </w:pPr>
    </w:p>
    <w:p w14:paraId="45D37F98" w14:textId="5DD2C51B" w:rsidR="006B3FAA" w:rsidRDefault="006B3FAA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b/>
          <w:bCs/>
          <w:color w:val="000000" w:themeColor="text1"/>
          <w:sz w:val="22"/>
          <w:lang w:val="es-MX"/>
        </w:rPr>
      </w:pPr>
    </w:p>
    <w:p w14:paraId="79E0834F" w14:textId="351A5A1F" w:rsidR="006B3FAA" w:rsidRDefault="006B3FAA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b/>
          <w:bCs/>
          <w:color w:val="000000" w:themeColor="text1"/>
          <w:sz w:val="22"/>
          <w:lang w:val="es-MX"/>
        </w:rPr>
      </w:pPr>
    </w:p>
    <w:p w14:paraId="4F002ACE" w14:textId="54770EFB" w:rsidR="006B3FAA" w:rsidRDefault="006B3FAA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b/>
          <w:bCs/>
          <w:color w:val="000000" w:themeColor="text1"/>
          <w:sz w:val="22"/>
          <w:lang w:val="es-MX"/>
        </w:rPr>
      </w:pPr>
    </w:p>
    <w:p w14:paraId="76868D78" w14:textId="22EE3014" w:rsidR="006B3FAA" w:rsidRDefault="006B3FAA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b/>
          <w:bCs/>
          <w:color w:val="000000" w:themeColor="text1"/>
          <w:sz w:val="22"/>
          <w:lang w:val="es-MX"/>
        </w:rPr>
      </w:pPr>
    </w:p>
    <w:p w14:paraId="4AC29409" w14:textId="734D0950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2"/>
          <w:lang w:val="es-MX"/>
        </w:rPr>
      </w:pPr>
      <w:r w:rsidRPr="00826FC0">
        <w:rPr>
          <w:rFonts w:ascii="Verdana" w:hAnsi="Verdana"/>
          <w:b/>
          <w:bCs/>
          <w:color w:val="000000" w:themeColor="text1"/>
          <w:sz w:val="22"/>
          <w:lang w:val="es-MX"/>
        </w:rPr>
        <w:lastRenderedPageBreak/>
        <w:t>Otros tratamientos</w:t>
      </w:r>
    </w:p>
    <w:p w14:paraId="25B5F5B0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2"/>
          <w:lang w:val="es-MX"/>
        </w:rPr>
      </w:pPr>
    </w:p>
    <w:p w14:paraId="509F214D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  <w:r w:rsidRPr="00826FC0">
        <w:rPr>
          <w:rFonts w:ascii="Verdana" w:hAnsi="Verdana"/>
          <w:color w:val="000000" w:themeColor="text1"/>
          <w:sz w:val="22"/>
          <w:lang w:val="es-MX"/>
        </w:rPr>
        <w:t>Material del curso a distancia</w:t>
      </w:r>
    </w:p>
    <w:p w14:paraId="03CD61F1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2"/>
          <w:lang w:val="es-MX"/>
        </w:rPr>
      </w:pPr>
      <w:r w:rsidRPr="00826FC0">
        <w:rPr>
          <w:rFonts w:ascii="Verdana" w:hAnsi="Verdana"/>
          <w:b/>
          <w:bCs/>
          <w:color w:val="000000" w:themeColor="text1"/>
          <w:sz w:val="22"/>
          <w:lang w:val="es-MX"/>
        </w:rPr>
        <w:t>Alergia Alimentaria</w:t>
      </w:r>
    </w:p>
    <w:p w14:paraId="7932FB4B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2"/>
          <w:lang w:val="es-MX"/>
        </w:rPr>
      </w:pPr>
    </w:p>
    <w:p w14:paraId="33DF548C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  <w:r w:rsidRPr="00826FC0">
        <w:rPr>
          <w:rFonts w:ascii="Verdana" w:hAnsi="Verdana"/>
          <w:color w:val="000000" w:themeColor="text1"/>
          <w:sz w:val="22"/>
          <w:lang w:val="es-MX"/>
        </w:rPr>
        <w:t>Secretaría de Universidad Abierta y Educación a Distancia</w:t>
      </w:r>
    </w:p>
    <w:p w14:paraId="19BB52B5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  <w:r w:rsidRPr="00826FC0">
        <w:rPr>
          <w:rFonts w:ascii="Verdana" w:hAnsi="Verdana"/>
          <w:color w:val="000000" w:themeColor="text1"/>
          <w:sz w:val="22"/>
          <w:lang w:val="es-MX"/>
        </w:rPr>
        <w:t>de la Facultad de Medicina, UNAM</w:t>
      </w:r>
    </w:p>
    <w:p w14:paraId="4260A70C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</w:p>
    <w:p w14:paraId="10F5412B" w14:textId="34CAA01A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  <w:r w:rsidRPr="00826FC0">
        <w:rPr>
          <w:rFonts w:ascii="Verdana" w:hAnsi="Verdana"/>
          <w:color w:val="000000" w:themeColor="text1"/>
          <w:sz w:val="22"/>
          <w:lang w:val="es-MX"/>
        </w:rPr>
        <w:t>©</w:t>
      </w:r>
      <w:r w:rsidR="004647FD">
        <w:rPr>
          <w:rFonts w:ascii="Verdana" w:hAnsi="Verdana"/>
          <w:color w:val="000000" w:themeColor="text1"/>
          <w:sz w:val="22"/>
          <w:lang w:val="es-MX"/>
        </w:rPr>
        <w:t xml:space="preserve"> </w:t>
      </w:r>
      <w:r w:rsidRPr="00826FC0">
        <w:rPr>
          <w:rFonts w:ascii="Verdana" w:hAnsi="Verdana"/>
          <w:color w:val="000000" w:themeColor="text1"/>
          <w:sz w:val="22"/>
          <w:lang w:val="es-MX"/>
        </w:rPr>
        <w:t>Primera edición, 2025</w:t>
      </w:r>
    </w:p>
    <w:p w14:paraId="2BD1BEE0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</w:p>
    <w:p w14:paraId="28947051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22"/>
          <w:lang w:val="es-MX"/>
        </w:rPr>
      </w:pPr>
      <w:r w:rsidRPr="00826FC0">
        <w:rPr>
          <w:rFonts w:ascii="Verdana" w:hAnsi="Verdana"/>
          <w:b/>
          <w:bCs/>
          <w:color w:val="000000" w:themeColor="text1"/>
          <w:sz w:val="22"/>
          <w:lang w:val="es-MX"/>
        </w:rPr>
        <w:t>Derechos reservados</w:t>
      </w:r>
    </w:p>
    <w:p w14:paraId="61A59E34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</w:p>
    <w:p w14:paraId="29B3155F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  <w:r w:rsidRPr="00826FC0">
        <w:rPr>
          <w:rFonts w:ascii="Verdana" w:hAnsi="Verdana"/>
          <w:color w:val="000000" w:themeColor="text1"/>
          <w:sz w:val="22"/>
          <w:lang w:val="es-MX"/>
        </w:rPr>
        <w:t>Universidad Nacional Autónoma de México</w:t>
      </w:r>
    </w:p>
    <w:p w14:paraId="5647A73D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  <w:r w:rsidRPr="00826FC0">
        <w:rPr>
          <w:rFonts w:ascii="Verdana" w:hAnsi="Verdana"/>
          <w:color w:val="000000" w:themeColor="text1"/>
          <w:sz w:val="22"/>
          <w:lang w:val="es-MX"/>
        </w:rPr>
        <w:t>Facultad de Medicina</w:t>
      </w:r>
    </w:p>
    <w:p w14:paraId="15E7C52D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  <w:r w:rsidRPr="00826FC0">
        <w:rPr>
          <w:rFonts w:ascii="Verdana" w:hAnsi="Verdana"/>
          <w:color w:val="000000" w:themeColor="text1"/>
          <w:sz w:val="22"/>
          <w:lang w:val="es-MX"/>
        </w:rPr>
        <w:t>Ciudad Universitaria, Coyoacán</w:t>
      </w:r>
    </w:p>
    <w:p w14:paraId="7784060B" w14:textId="586E1D4D" w:rsidR="00826FC0" w:rsidRPr="00826FC0" w:rsidRDefault="004647FD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  <w:r>
        <w:rPr>
          <w:rFonts w:ascii="Verdana" w:hAnsi="Verdana"/>
          <w:color w:val="000000" w:themeColor="text1"/>
          <w:sz w:val="22"/>
          <w:lang w:val="es-MX"/>
        </w:rPr>
        <w:t xml:space="preserve">C. P. </w:t>
      </w:r>
      <w:r w:rsidR="00826FC0" w:rsidRPr="00826FC0">
        <w:rPr>
          <w:rFonts w:ascii="Verdana" w:hAnsi="Verdana"/>
          <w:color w:val="000000" w:themeColor="text1"/>
          <w:sz w:val="22"/>
          <w:lang w:val="es-MX"/>
        </w:rPr>
        <w:t xml:space="preserve">04510, Ciudad de México, México </w:t>
      </w:r>
    </w:p>
    <w:p w14:paraId="1EE8C4C4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</w:p>
    <w:p w14:paraId="62D154EA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  <w:r w:rsidRPr="00826FC0">
        <w:rPr>
          <w:rFonts w:ascii="Verdana" w:hAnsi="Verdana"/>
          <w:color w:val="000000" w:themeColor="text1"/>
          <w:sz w:val="22"/>
          <w:lang w:val="es-MX"/>
        </w:rPr>
        <w:t xml:space="preserve">Registro de derechos de autor: </w:t>
      </w:r>
    </w:p>
    <w:p w14:paraId="13B37A50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</w:p>
    <w:p w14:paraId="676818B7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  <w:r w:rsidRPr="00826FC0">
        <w:rPr>
          <w:rFonts w:ascii="Verdana" w:hAnsi="Verdana"/>
          <w:color w:val="000000" w:themeColor="text1"/>
          <w:sz w:val="22"/>
          <w:lang w:val="es-MX"/>
        </w:rPr>
        <w:t>Prohibida su reproducción total o parcial por cualquier medio sin la autorización escrita del titular de los derechos patrimoniales.</w:t>
      </w:r>
    </w:p>
    <w:p w14:paraId="1F891387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  <w:lang w:val="es-MX"/>
        </w:rPr>
      </w:pPr>
    </w:p>
    <w:p w14:paraId="68BEDCDC" w14:textId="77777777" w:rsidR="00826FC0" w:rsidRPr="00826FC0" w:rsidRDefault="00826FC0" w:rsidP="00DF4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Verdana" w:hAnsi="Verdana"/>
          <w:color w:val="000000" w:themeColor="text1"/>
          <w:sz w:val="22"/>
        </w:rPr>
      </w:pPr>
      <w:r w:rsidRPr="00826FC0">
        <w:rPr>
          <w:rFonts w:ascii="Verdana" w:hAnsi="Verdana"/>
          <w:color w:val="000000" w:themeColor="text1"/>
          <w:sz w:val="22"/>
        </w:rPr>
        <w:t>Hecho en México</w:t>
      </w:r>
    </w:p>
    <w:p w14:paraId="7D2BD450" w14:textId="77777777" w:rsidR="00826FC0" w:rsidRDefault="00826FC0" w:rsidP="00DF4AEE">
      <w:pPr>
        <w:spacing w:after="0" w:line="240" w:lineRule="auto"/>
        <w:jc w:val="both"/>
        <w:rPr>
          <w:rFonts w:ascii="Verdana" w:hAnsi="Verdana"/>
        </w:rPr>
      </w:pPr>
    </w:p>
    <w:p w14:paraId="157CEC96" w14:textId="77777777" w:rsidR="00826FC0" w:rsidRDefault="00826FC0" w:rsidP="00DF4AEE">
      <w:pPr>
        <w:spacing w:after="0" w:line="240" w:lineRule="auto"/>
        <w:jc w:val="both"/>
        <w:rPr>
          <w:rFonts w:ascii="Verdana" w:hAnsi="Verdana"/>
        </w:rPr>
      </w:pPr>
    </w:p>
    <w:p w14:paraId="748D0324" w14:textId="77777777" w:rsidR="00826FC0" w:rsidRPr="00513EE3" w:rsidRDefault="00826FC0" w:rsidP="00DF4AEE">
      <w:pPr>
        <w:spacing w:after="0" w:line="240" w:lineRule="auto"/>
        <w:jc w:val="both"/>
        <w:rPr>
          <w:rFonts w:ascii="Verdana" w:hAnsi="Verdana"/>
        </w:rPr>
      </w:pPr>
    </w:p>
    <w:p w14:paraId="4B96A8A0" w14:textId="77777777" w:rsidR="00A22BC1" w:rsidRPr="00790A5A" w:rsidRDefault="00A22BC1" w:rsidP="00DF4AEE">
      <w:pPr>
        <w:spacing w:after="0" w:line="240" w:lineRule="auto"/>
        <w:rPr>
          <w:rFonts w:ascii="Verdana" w:hAnsi="Verdana"/>
          <w:sz w:val="22"/>
        </w:rPr>
      </w:pPr>
    </w:p>
    <w:p w14:paraId="6DCFEFD1" w14:textId="77777777" w:rsidR="00815D98" w:rsidRPr="00790A5A" w:rsidRDefault="00815D98" w:rsidP="00DF4AEE">
      <w:pPr>
        <w:spacing w:after="0" w:line="240" w:lineRule="auto"/>
        <w:rPr>
          <w:rFonts w:ascii="Verdana" w:hAnsi="Verdana"/>
          <w:sz w:val="22"/>
        </w:rPr>
      </w:pPr>
    </w:p>
    <w:p w14:paraId="5D302221" w14:textId="77777777" w:rsidR="00815D98" w:rsidRPr="00790A5A" w:rsidRDefault="00815D98" w:rsidP="00DF4AEE">
      <w:pPr>
        <w:spacing w:after="0" w:line="240" w:lineRule="auto"/>
        <w:rPr>
          <w:rFonts w:ascii="Verdana" w:hAnsi="Verdana"/>
          <w:sz w:val="22"/>
        </w:rPr>
      </w:pPr>
    </w:p>
    <w:p w14:paraId="1A9A39E9" w14:textId="77777777" w:rsidR="00815D98" w:rsidRPr="00790A5A" w:rsidRDefault="00815D98" w:rsidP="00DF4AEE">
      <w:pPr>
        <w:spacing w:after="0" w:line="240" w:lineRule="auto"/>
        <w:rPr>
          <w:rFonts w:ascii="Verdana" w:hAnsi="Verdana"/>
          <w:sz w:val="22"/>
        </w:rPr>
      </w:pPr>
    </w:p>
    <w:p w14:paraId="29AC6508" w14:textId="77777777" w:rsidR="00DC44F6" w:rsidRPr="00790A5A" w:rsidRDefault="00DC44F6" w:rsidP="00DF4AEE">
      <w:pPr>
        <w:spacing w:after="0" w:line="240" w:lineRule="auto"/>
        <w:rPr>
          <w:rFonts w:ascii="Verdana" w:hAnsi="Verdana"/>
          <w:sz w:val="22"/>
        </w:rPr>
      </w:pPr>
    </w:p>
    <w:sectPr w:rsidR="00DC44F6" w:rsidRPr="00790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4E0D"/>
    <w:multiLevelType w:val="hybridMultilevel"/>
    <w:tmpl w:val="0B144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2416E"/>
    <w:multiLevelType w:val="hybridMultilevel"/>
    <w:tmpl w:val="D3784D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420A3"/>
    <w:multiLevelType w:val="hybridMultilevel"/>
    <w:tmpl w:val="3CDC4B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06F1E"/>
    <w:multiLevelType w:val="hybridMultilevel"/>
    <w:tmpl w:val="607CD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890"/>
    <w:rsid w:val="00032570"/>
    <w:rsid w:val="000371C8"/>
    <w:rsid w:val="000733CA"/>
    <w:rsid w:val="000A3D50"/>
    <w:rsid w:val="000B0A0F"/>
    <w:rsid w:val="001068F0"/>
    <w:rsid w:val="00160DB9"/>
    <w:rsid w:val="001A3CDF"/>
    <w:rsid w:val="001C6EDE"/>
    <w:rsid w:val="001D24A6"/>
    <w:rsid w:val="00211D21"/>
    <w:rsid w:val="00241D67"/>
    <w:rsid w:val="0025737C"/>
    <w:rsid w:val="00265D5C"/>
    <w:rsid w:val="00286DB0"/>
    <w:rsid w:val="0028739C"/>
    <w:rsid w:val="00303A5C"/>
    <w:rsid w:val="0031504C"/>
    <w:rsid w:val="0032574C"/>
    <w:rsid w:val="003A529D"/>
    <w:rsid w:val="003C0933"/>
    <w:rsid w:val="003F540E"/>
    <w:rsid w:val="004140AA"/>
    <w:rsid w:val="004647FD"/>
    <w:rsid w:val="00470685"/>
    <w:rsid w:val="00495FDA"/>
    <w:rsid w:val="004C2D9F"/>
    <w:rsid w:val="004E2D80"/>
    <w:rsid w:val="004F3327"/>
    <w:rsid w:val="004F5248"/>
    <w:rsid w:val="00564AE5"/>
    <w:rsid w:val="005E1344"/>
    <w:rsid w:val="005E60B6"/>
    <w:rsid w:val="00621F7D"/>
    <w:rsid w:val="006227BD"/>
    <w:rsid w:val="00636511"/>
    <w:rsid w:val="00663890"/>
    <w:rsid w:val="00672EC1"/>
    <w:rsid w:val="00696321"/>
    <w:rsid w:val="006B3FAA"/>
    <w:rsid w:val="006C1477"/>
    <w:rsid w:val="0074037F"/>
    <w:rsid w:val="00747582"/>
    <w:rsid w:val="00790A5A"/>
    <w:rsid w:val="0079514C"/>
    <w:rsid w:val="007A1432"/>
    <w:rsid w:val="00815D98"/>
    <w:rsid w:val="00820119"/>
    <w:rsid w:val="00826FC0"/>
    <w:rsid w:val="00850578"/>
    <w:rsid w:val="00850B70"/>
    <w:rsid w:val="00865DEA"/>
    <w:rsid w:val="00877F5F"/>
    <w:rsid w:val="008A2C51"/>
    <w:rsid w:val="008B4C4C"/>
    <w:rsid w:val="009070A2"/>
    <w:rsid w:val="00933A82"/>
    <w:rsid w:val="0094133D"/>
    <w:rsid w:val="0097370A"/>
    <w:rsid w:val="009822C6"/>
    <w:rsid w:val="009C215D"/>
    <w:rsid w:val="00A22BC1"/>
    <w:rsid w:val="00A25DA9"/>
    <w:rsid w:val="00A25EA2"/>
    <w:rsid w:val="00A5196C"/>
    <w:rsid w:val="00A56728"/>
    <w:rsid w:val="00A744DD"/>
    <w:rsid w:val="00A75CA1"/>
    <w:rsid w:val="00A965FE"/>
    <w:rsid w:val="00B00356"/>
    <w:rsid w:val="00B522AB"/>
    <w:rsid w:val="00B6719D"/>
    <w:rsid w:val="00B74226"/>
    <w:rsid w:val="00BA33BB"/>
    <w:rsid w:val="00BE079E"/>
    <w:rsid w:val="00BE4427"/>
    <w:rsid w:val="00C02828"/>
    <w:rsid w:val="00C232CE"/>
    <w:rsid w:val="00C46DC0"/>
    <w:rsid w:val="00C5006D"/>
    <w:rsid w:val="00CE7618"/>
    <w:rsid w:val="00D16899"/>
    <w:rsid w:val="00D17606"/>
    <w:rsid w:val="00D31C23"/>
    <w:rsid w:val="00D4374B"/>
    <w:rsid w:val="00D73527"/>
    <w:rsid w:val="00DB7A4D"/>
    <w:rsid w:val="00DC44F6"/>
    <w:rsid w:val="00DF21C7"/>
    <w:rsid w:val="00DF4AEE"/>
    <w:rsid w:val="00E03D02"/>
    <w:rsid w:val="00E726C2"/>
    <w:rsid w:val="00E82B8A"/>
    <w:rsid w:val="00EB1122"/>
    <w:rsid w:val="00ED4060"/>
    <w:rsid w:val="00ED6C4F"/>
    <w:rsid w:val="00F13347"/>
    <w:rsid w:val="00F24D61"/>
    <w:rsid w:val="00F65D3B"/>
    <w:rsid w:val="00F71EF2"/>
    <w:rsid w:val="00F84289"/>
    <w:rsid w:val="00FD1EAC"/>
    <w:rsid w:val="00FE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8F15"/>
  <w15:chartTrackingRefBased/>
  <w15:docId w15:val="{D22D1C31-25C3-47F8-8DA2-61915C17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3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4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332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9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5F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0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470685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790A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0A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0A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A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0A5A"/>
    <w:rPr>
      <w:b/>
      <w:bCs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75CA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13347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s-MX"/>
      <w14:ligatures w14:val="standardContextua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40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4A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4A6"/>
    <w:rPr>
      <w:rFonts w:ascii="Times New Roman" w:hAnsi="Times New Roman" w:cs="Times New Roman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8B4C4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8A2C5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3D50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anai.2022.12.014" TargetMode="External"/><Relationship Id="rId13" Type="http://schemas.openxmlformats.org/officeDocument/2006/relationships/hyperlink" Target="https://doi.org/10.3390/ijms21041474" TargetMode="External"/><Relationship Id="rId18" Type="http://schemas.openxmlformats.org/officeDocument/2006/relationships/hyperlink" Target="https://doi.org/10.1002/9780470015902.a0028380" TargetMode="External"/><Relationship Id="rId26" Type="http://schemas.openxmlformats.org/officeDocument/2006/relationships/hyperlink" Target="https://doi.org/10.2500/aap.2010.31.33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waojou.2022.100687" TargetMode="External"/><Relationship Id="rId7" Type="http://schemas.openxmlformats.org/officeDocument/2006/relationships/hyperlink" Target="https://www.imss.gob.mx/prensa/archivo/202307/333" TargetMode="External"/><Relationship Id="rId12" Type="http://schemas.openxmlformats.org/officeDocument/2006/relationships/hyperlink" Target="https://doi.org/10.1016/j.dld.2024.02.020" TargetMode="External"/><Relationship Id="rId17" Type="http://schemas.openxmlformats.org/officeDocument/2006/relationships/hyperlink" Target="https://doi.org/10.1111/all.14308" TargetMode="External"/><Relationship Id="rId25" Type="http://schemas.openxmlformats.org/officeDocument/2006/relationships/hyperlink" Target="https://doi.org/10.1056/NEJMoa181285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467-019-13815-w" TargetMode="External"/><Relationship Id="rId20" Type="http://schemas.openxmlformats.org/officeDocument/2006/relationships/hyperlink" Target="https://doi.org/10.1016/j.anai.2023.07.01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mss.gob.mx/prensa/archivo/202307/333" TargetMode="External"/><Relationship Id="rId11" Type="http://schemas.openxmlformats.org/officeDocument/2006/relationships/hyperlink" Target="https://doi.org/10.1016/j.anai.2019.09.011" TargetMode="External"/><Relationship Id="rId24" Type="http://schemas.openxmlformats.org/officeDocument/2006/relationships/hyperlink" Target="https://doi.org/10.1111/all.13319" TargetMode="External"/><Relationship Id="rId5" Type="http://schemas.openxmlformats.org/officeDocument/2006/relationships/hyperlink" Target="https://www.pexels.com/es-es/foto/manos-beber-bebida-medicina-6753297/" TargetMode="External"/><Relationship Id="rId15" Type="http://schemas.openxmlformats.org/officeDocument/2006/relationships/hyperlink" Target="https://doi.org/10.1016/j.jaip.2019.01.023" TargetMode="External"/><Relationship Id="rId23" Type="http://schemas.openxmlformats.org/officeDocument/2006/relationships/hyperlink" Target="https://doi.org/10.1111/all.12423" TargetMode="External"/><Relationship Id="rId28" Type="http://schemas.openxmlformats.org/officeDocument/2006/relationships/hyperlink" Target="https://www.allergy.org.au/patients/allergy-treatments/oral-immunotherapy-for-food-allergy" TargetMode="External"/><Relationship Id="rId10" Type="http://schemas.openxmlformats.org/officeDocument/2006/relationships/hyperlink" Target="https://doi.org/10.1056/NEJMoa1200435" TargetMode="External"/><Relationship Id="rId19" Type="http://schemas.openxmlformats.org/officeDocument/2006/relationships/hyperlink" Target="https://doi.org/10.1056/NEJMoa0226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aller.2020.03.004" TargetMode="External"/><Relationship Id="rId14" Type="http://schemas.openxmlformats.org/officeDocument/2006/relationships/hyperlink" Target="https://doi.org/10.1056/NEJMoa2205982" TargetMode="External"/><Relationship Id="rId22" Type="http://schemas.openxmlformats.org/officeDocument/2006/relationships/hyperlink" Target="https://doi.org/10.5414/ALX02319E" TargetMode="External"/><Relationship Id="rId27" Type="http://schemas.openxmlformats.org/officeDocument/2006/relationships/hyperlink" Target="https://doi.org/10.1016/j.waojou.2022.10069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3047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 N</cp:lastModifiedBy>
  <cp:revision>32</cp:revision>
  <dcterms:created xsi:type="dcterms:W3CDTF">2025-03-24T23:32:00Z</dcterms:created>
  <dcterms:modified xsi:type="dcterms:W3CDTF">2025-04-07T18:50:00Z</dcterms:modified>
</cp:coreProperties>
</file>