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3. Metodologia</w:t>
      </w:r>
    </w:p>
    <w:p>
      <w:pPr>
        <w:pStyle w:val="Heading2"/>
      </w:pPr>
      <w:r>
        <w:rPr>
          <w:rFonts w:ascii="Arial" w:cs="Arial" w:eastAsia="Arial" w:hAnsi="Arial"/>
        </w:rPr>
        <w:t xml:space="preserve">3.1 Tipo de estudo</w:t>
      </w:r>
    </w:p>
    <w:p>
      <w:pPr>
        <w:spacing w:after="160" w:line="360"/>
        <w:ind w:firstLine="720"/>
        <w:jc w:val="both"/>
      </w:pPr>
      <w:r>
        <w:rPr>
          <w:rFonts w:ascii="Arial" w:cs="Arial" w:eastAsia="Arial" w:hAnsi="Arial"/>
          <w:sz w:val="24"/>
          <w:szCs w:val="24"/>
        </w:rPr>
        <w:t xml:space="preserve">Este MVP adota um desenho observacional, quantitativo e descritivo-correlacional. A análise está organizada em duas partes complementares: (a) uma análise de correlação de séries temporais com dados agregados no nível populacional, cobrindo o período de 2011 a 2023 (Parte A); e (b) uma análise transversal com microdados individuais do YRBS 2023 (Parte B). A combinação das duas abordagens constitui uma estratégia de triangulação que mitiga as limitações inerentes a cada uma delas isoladamente.</w:t>
      </w:r>
    </w:p>
    <w:p>
      <w:pPr>
        <w:pStyle w:val="Heading2"/>
      </w:pPr>
      <w:r>
        <w:rPr>
          <w:rFonts w:ascii="Arial" w:cs="Arial" w:eastAsia="Arial" w:hAnsi="Arial"/>
        </w:rPr>
        <w:t xml:space="preserve">3.2 Fontes de dados</w:t>
      </w:r>
    </w:p>
    <w:p>
      <w:pPr>
        <w:pStyle w:val="Heading3"/>
      </w:pPr>
      <w:r>
        <w:rPr>
          <w:rFonts w:ascii="Arial" w:cs="Arial" w:eastAsia="Arial" w:hAnsi="Arial"/>
        </w:rPr>
        <w:t xml:space="preserve">3.2.1 CDC Youth Risk Behavior Survey (YRBS)</w:t>
      </w:r>
    </w:p>
    <w:p>
      <w:pPr>
        <w:spacing w:after="160" w:line="360"/>
        <w:ind w:firstLine="720"/>
        <w:jc w:val="both"/>
      </w:pPr>
      <w:r>
        <w:rPr>
          <w:rFonts w:ascii="Arial" w:cs="Arial" w:eastAsia="Arial" w:hAnsi="Arial"/>
          <w:sz w:val="24"/>
          <w:szCs w:val="24"/>
        </w:rPr>
        <w:t xml:space="preserve">O YRBS é o maior sistema de vigilância de saúde pública dos EUA para comportamentos de risco entre adolescentes. Conduzido bienalmente pelo CDC desde 1991, utiliza amostras nacionalmente representativas de estudantes do 9º ao 12º ano (high school), com aproximadamente 15.000 a 20.000 respondentes por ciclo. O questionário é autoaplicado, anônimo e administrado em ambiente escolar. A partir de 2023, a administração migrou de cadernos de papel para tablets eletrônicos (CDC, 2024).</w:t>
      </w:r>
    </w:p>
    <w:p>
      <w:pPr>
        <w:spacing w:after="160" w:line="360"/>
        <w:ind w:firstLine="720"/>
        <w:jc w:val="both"/>
      </w:pPr>
      <w:r>
        <w:rPr>
          <w:rFonts w:ascii="Arial" w:cs="Arial" w:eastAsia="Arial" w:hAnsi="Arial"/>
          <w:b/>
          <w:bCs/>
          <w:sz w:val="24"/>
          <w:szCs w:val="24"/>
        </w:rPr>
        <w:t xml:space="preserve">Variável de depressão (Q26/QN26): </w:t>
      </w:r>
      <w:r>
        <w:rPr>
          <w:rFonts w:ascii="Arial" w:cs="Arial" w:eastAsia="Arial" w:hAnsi="Arial"/>
          <w:sz w:val="24"/>
          <w:szCs w:val="24"/>
        </w:rPr>
        <w:t xml:space="preserve">“During the past 12 months, did you ever feel so sad or hopeless almost every day for two weeks or more in a row that you stopped doing some usual activities?” (Sim/Não). Esta questão é um proxy para sintomas depressivos — não constitui diagnóstico clínico — e tem sido utilizada de forma consistente em todos os ciclos do YRBS, permitindo comparação temporal direta.</w:t>
      </w:r>
    </w:p>
    <w:p>
      <w:pPr>
        <w:spacing w:after="160" w:line="360"/>
        <w:ind w:firstLine="720"/>
        <w:jc w:val="both"/>
      </w:pPr>
      <w:r>
        <w:rPr>
          <w:rFonts w:ascii="Arial" w:cs="Arial" w:eastAsia="Arial" w:hAnsi="Arial"/>
          <w:b/>
          <w:bCs/>
          <w:sz w:val="24"/>
          <w:szCs w:val="24"/>
        </w:rPr>
        <w:t xml:space="preserve">Variável de redes sociais (Q87/QN87 — apenas 2023): </w:t>
      </w:r>
      <w:r>
        <w:rPr>
          <w:rFonts w:ascii="Arial" w:cs="Arial" w:eastAsia="Arial" w:hAnsi="Arial"/>
          <w:sz w:val="24"/>
          <w:szCs w:val="24"/>
        </w:rPr>
        <w:t xml:space="preserve">“How often do you use social media?”. As respostas foram dicotomizadas pelo CDC em uso frequente (“várias vezes ao dia” ou mais) versus uso infrequente ou não uso (QN87). Esta variável foi introduzida no questionário nacional pela primeira vez em 2023.</w:t>
      </w:r>
    </w:p>
    <w:p>
      <w:pPr>
        <w:pStyle w:val="Heading3"/>
      </w:pPr>
      <w:r>
        <w:rPr>
          <w:rFonts w:ascii="Arial" w:cs="Arial" w:eastAsia="Arial" w:hAnsi="Arial"/>
        </w:rPr>
        <w:t xml:space="preserve">3.2.2 Pew Research Center</w:t>
      </w:r>
    </w:p>
    <w:p>
      <w:pPr>
        <w:spacing w:after="160" w:line="360"/>
        <w:ind w:firstLine="720"/>
        <w:jc w:val="both"/>
      </w:pPr>
      <w:r>
        <w:rPr>
          <w:rFonts w:ascii="Arial" w:cs="Arial" w:eastAsia="Arial" w:hAnsi="Arial"/>
          <w:sz w:val="24"/>
          <w:szCs w:val="24"/>
        </w:rPr>
        <w:t xml:space="preserve">O Pew Research Center conduz pesquisas periódicas sobre uso de tecnologia e redes sociais entre adolescentes de 13 a 17 anos nos EUA. Os surveys utilizam amostras probabilísticas via KnowledgePanel (Ipsos), com tamanhos amostrais entre 1.300 e 1.600 adolescentes. Os relatórios consultados para este MVP cobrem os anos de 2014–2015, 2018, 2022, 2023 e 2024.</w:t>
      </w:r>
    </w:p>
    <w:p>
      <w:pPr>
        <w:spacing w:after="160" w:line="360"/>
        <w:ind w:firstLine="720"/>
        <w:jc w:val="both"/>
      </w:pPr>
      <w:r>
        <w:rPr>
          <w:rFonts w:ascii="Arial" w:cs="Arial" w:eastAsia="Arial" w:hAnsi="Arial"/>
          <w:b/>
          <w:bCs/>
          <w:sz w:val="24"/>
          <w:szCs w:val="24"/>
        </w:rPr>
        <w:t xml:space="preserve">Variável principal: </w:t>
      </w:r>
      <w:r>
        <w:rPr>
          <w:rFonts w:ascii="Arial" w:cs="Arial" w:eastAsia="Arial" w:hAnsi="Arial"/>
          <w:sz w:val="24"/>
          <w:szCs w:val="24"/>
        </w:rPr>
        <w:t xml:space="preserve">porcentagem de adolescentes que dizem estar online “almost constantly” (quase constantemente). Esta métrica captura intensidade de uso, não apenas adoção binária, o que a torna mais sensível para detectar associações com desfechos de saúde mental.</w:t>
      </w:r>
    </w:p>
    <w:p>
      <w:pPr>
        <w:pStyle w:val="Heading2"/>
      </w:pPr>
      <w:r>
        <w:rPr>
          <w:rFonts w:ascii="Arial" w:cs="Arial" w:eastAsia="Arial" w:hAnsi="Arial"/>
        </w:rPr>
        <w:t xml:space="preserve">3.3 Variáveis</w:t>
      </w:r>
    </w:p>
    <w:p>
      <w:pPr>
        <w:spacing w:after="160" w:line="360"/>
        <w:ind w:firstLine="720"/>
        <w:jc w:val="both"/>
      </w:pPr>
      <w:r>
        <w:rPr>
          <w:rFonts w:ascii="Arial" w:cs="Arial" w:eastAsia="Arial" w:hAnsi="Arial"/>
          <w:sz w:val="24"/>
          <w:szCs w:val="24"/>
        </w:rPr>
        <w:t xml:space="preserve">A tabela a seguir resume as variáveis utilizadas nas duas partes da análise:</w:t>
      </w:r>
    </w:p>
    <w:p>
      <w:pPr>
        <w:spacing w:after="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700"/>
        <w:gridCol w:w="270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Variável</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Fonte / Código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Dependente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adolescentes com tristeza/desesperança persistente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YRBS (Q26)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adolescentes online "quase constantemente"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 Research Center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Estratificação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Sexo (feminino / masculino)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YRBS (Q2)</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Desfecho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Depressão (sim/não)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YRBS 2023 (QN26)</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Exposição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Uso frequente de redes sociais (sim/não)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YRBS 2023 (QN87)</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Estratificação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Sexo (feminino / masculino)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YRBS 2023 (Q2)</w:t>
            </w:r>
          </w:p>
        </w:tc>
      </w:tr>
    </w:tbl>
    <w:p>
      <w:pPr>
        <w:spacing w:after="80"/>
      </w:pPr>
    </w:p>
    <w:p>
      <w:pPr>
        <w:pStyle w:val="Heading2"/>
      </w:pPr>
      <w:r>
        <w:rPr>
          <w:rFonts w:ascii="Arial" w:cs="Arial" w:eastAsia="Arial" w:hAnsi="Arial"/>
        </w:rPr>
        <w:t xml:space="preserve">3.4 Alinhamento temporal (Parte A)</w:t>
      </w:r>
    </w:p>
    <w:p>
      <w:pPr>
        <w:spacing w:after="160" w:line="360"/>
        <w:ind w:firstLine="720"/>
        <w:jc w:val="both"/>
      </w:pPr>
      <w:r>
        <w:rPr>
          <w:rFonts w:ascii="Arial" w:cs="Arial" w:eastAsia="Arial" w:hAnsi="Arial"/>
          <w:sz w:val="24"/>
          <w:szCs w:val="24"/>
        </w:rPr>
        <w:t xml:space="preserve">O principal desafio metodológico da Parte A reside na diferença de periodicidade entre as fontes: o YRBS coleta dados em anos ímpares (2011, 2013, ..., 2023) enquanto o Pew publica em anos irregulares (2015, 2018, 2022, 2023, 2024). Para viabilizar o cálculo de correlação, adotou-se interpolação linear para estimar valores nos anos sem dados observados.</w:t>
      </w:r>
    </w:p>
    <w:p>
      <w:pPr>
        <w:spacing w:after="160" w:line="360"/>
        <w:ind w:firstLine="720"/>
        <w:jc w:val="both"/>
      </w:pPr>
      <w:r>
        <w:rPr>
          <w:rFonts w:ascii="Arial" w:cs="Arial" w:eastAsia="Arial" w:hAnsi="Arial"/>
          <w:sz w:val="24"/>
          <w:szCs w:val="24"/>
        </w:rPr>
        <w:t xml:space="preserve">A interpolação linear assume que a variação entre dois pontos de dados reais é uniforme ao longo do tempo. Essa premissa é uma simplificação — a adoção de tecnologia, por exemplo, tende a seguir curvas em S, não retas — e é documentada como limitação. Para os anos de 2011 a 2014, anteriores ao primeiro survey de adolescentes do Pew (2014–2015), foram utilizadas estimativas conservadoras baseadas na curva de adoção de smartphones no período.</w:t>
      </w:r>
    </w:p>
    <w:p>
      <w:pPr>
        <w:spacing w:after="160" w:line="360"/>
        <w:ind w:firstLine="720"/>
        <w:jc w:val="both"/>
      </w:pPr>
      <w:r>
        <w:rPr>
          <w:rFonts w:ascii="Arial" w:cs="Arial" w:eastAsia="Arial" w:hAnsi="Arial"/>
          <w:sz w:val="24"/>
          <w:szCs w:val="24"/>
        </w:rPr>
        <w:t xml:space="preserve">A tabela-mestre resultante contém 13 pontos de dados anuais (2011–2023), dos quais 2 possuem dados reais em ambas as fontes (2015 e 2023), 7 possuem dados reais em pelo menos uma fonte, e 4 são inteiramente interpolados. Em todas as visualizações, os pontos de dados reais são distinguidos visualmente dos interpolados.</w:t>
      </w:r>
    </w:p>
    <w:p>
      <w:pPr>
        <w:pStyle w:val="Heading2"/>
      </w:pPr>
      <w:r>
        <w:rPr>
          <w:rFonts w:ascii="Arial" w:cs="Arial" w:eastAsia="Arial" w:hAnsi="Arial"/>
        </w:rPr>
        <w:t xml:space="preserve">3.5 Procedimentos de análise</w:t>
      </w:r>
    </w:p>
    <w:p>
      <w:pPr>
        <w:pStyle w:val="Heading3"/>
      </w:pPr>
      <w:r>
        <w:rPr>
          <w:rFonts w:ascii="Arial" w:cs="Arial" w:eastAsia="Arial" w:hAnsi="Arial"/>
        </w:rPr>
        <w:t xml:space="preserve">3.5.1 Parte A — Séries temporais</w:t>
      </w:r>
    </w:p>
    <w:p>
      <w:pPr>
        <w:spacing w:after="160" w:line="360"/>
        <w:ind w:firstLine="720"/>
        <w:jc w:val="both"/>
      </w:pPr>
      <w:r>
        <w:rPr>
          <w:rFonts w:ascii="Arial" w:cs="Arial" w:eastAsia="Arial" w:hAnsi="Arial"/>
          <w:sz w:val="24"/>
          <w:szCs w:val="24"/>
        </w:rPr>
        <w:t xml:space="preserve">A análise de correlação da Parte A segue cinco etapas: (1) construção das séries temporais a partir dos dados oficiais; (2) interpolação linear para alinhamento temporal; (3) cálculo dos coeficientes de correlação de Pearson (r) e Spearman (ρ) com respectivos p-values; (4) estratificação por sexo para testar moderação de gênero; e (5) teste de robustez excluindo o ano de 2021 para avaliar a influência do período pandêmico.</w:t>
      </w:r>
    </w:p>
    <w:p>
      <w:pPr>
        <w:spacing w:after="160" w:line="360"/>
        <w:ind w:firstLine="720"/>
        <w:jc w:val="both"/>
      </w:pPr>
      <w:r>
        <w:rPr>
          <w:rFonts w:ascii="Arial" w:cs="Arial" w:eastAsia="Arial" w:hAnsi="Arial"/>
          <w:sz w:val="24"/>
          <w:szCs w:val="24"/>
        </w:rPr>
        <w:t xml:space="preserve">O coeficiente de Pearson mede associação linear entre as variáveis. O coeficiente de Spearman, baseado em rankings, é mais robusto para amostras pequenas e não pressupõe distribuição normal. Ambos são reportados conjuntamente para aumentar a confiabilidade dos resultados. O nível de significância adotado é α = 0,05.</w:t>
      </w:r>
    </w:p>
    <w:p>
      <w:pPr>
        <w:pStyle w:val="Heading3"/>
      </w:pPr>
      <w:r>
        <w:rPr>
          <w:rFonts w:ascii="Arial" w:cs="Arial" w:eastAsia="Arial" w:hAnsi="Arial"/>
        </w:rPr>
        <w:t xml:space="preserve">3.5.2 Parte B — Intra-survey YRBS 2023</w:t>
      </w:r>
    </w:p>
    <w:p>
      <w:pPr>
        <w:spacing w:after="160" w:line="360"/>
        <w:ind w:firstLine="720"/>
        <w:jc w:val="both"/>
      </w:pPr>
      <w:r>
        <w:rPr>
          <w:rFonts w:ascii="Arial" w:cs="Arial" w:eastAsia="Arial" w:hAnsi="Arial"/>
          <w:sz w:val="24"/>
          <w:szCs w:val="24"/>
        </w:rPr>
        <w:t xml:space="preserve">A análise dos microdados do YRBS 2023 (N = 20.103) segue quatro etapas: (1) tabulação cruzada entre uso frequente de redes sociais (QN87) e depressão (QN26); (2) teste de qui-quadrado (χ²) para independência entre as variáveis; (3) cálculo da razão de prevalência (PR) e do odds ratio (OR) com intervalo de confiança de 95%; e (4) estratificação por sexo.</w:t>
      </w:r>
    </w:p>
    <w:p>
      <w:pPr>
        <w:spacing w:after="160" w:line="360"/>
        <w:ind w:firstLine="720"/>
        <w:jc w:val="both"/>
      </w:pPr>
      <w:r>
        <w:rPr>
          <w:rFonts w:ascii="Arial" w:cs="Arial" w:eastAsia="Arial" w:hAnsi="Arial"/>
          <w:sz w:val="24"/>
          <w:szCs w:val="24"/>
        </w:rPr>
        <w:t xml:space="preserve">Os microdados foram obtidos do CDC em formato Microsoft Access (.mdb), convertidos para CSV, e processados em Python. A variável QN87 foi dicotomizada pelo próprio CDC: uso frequente (várias vezes ao dia ou mais) versus uso infrequente ou não uso. A variável QN26 também é dicotômica (sim/não).</w:t>
      </w:r>
    </w:p>
    <w:p>
      <w:pPr>
        <w:pStyle w:val="Heading2"/>
      </w:pPr>
      <w:r>
        <w:rPr>
          <w:rFonts w:ascii="Arial" w:cs="Arial" w:eastAsia="Arial" w:hAnsi="Arial"/>
        </w:rPr>
        <w:t xml:space="preserve">3.6 Ferramentas computacionais</w:t>
      </w:r>
    </w:p>
    <w:p>
      <w:pPr>
        <w:spacing w:after="160" w:line="360"/>
        <w:ind w:firstLine="720"/>
        <w:jc w:val="both"/>
      </w:pPr>
      <w:r>
        <w:rPr>
          <w:rFonts w:ascii="Arial" w:cs="Arial" w:eastAsia="Arial" w:hAnsi="Arial"/>
          <w:sz w:val="24"/>
          <w:szCs w:val="24"/>
        </w:rPr>
        <w:t xml:space="preserve">Toda a análise foi realizada em Python 3.12, utilizando as bibliotecas pandas (manipulação de dados), numpy (operações numéricas), scipy.stats (testes estatísticos), matplotlib e seaborn (visualização). O código foi organizado em um notebook Jupyter executável no Google Colab, garantindo reprodutibilidade — qualquer pessoa pode replicar os resultados sem instalação de software local. O código-fonte, os dados e os gráficos estão disponíveis no repositório GitHub do projeto.</w:t>
      </w:r>
    </w:p>
    <w:p>
      <w:pPr>
        <w:pStyle w:val="Heading2"/>
      </w:pPr>
      <w:r>
        <w:rPr>
          <w:rFonts w:ascii="Arial" w:cs="Arial" w:eastAsia="Arial" w:hAnsi="Arial"/>
        </w:rPr>
        <w:t xml:space="preserve">3.7 Considerações éticas</w:t>
      </w:r>
    </w:p>
    <w:p>
      <w:pPr>
        <w:spacing w:after="160" w:line="360"/>
        <w:ind w:firstLine="720"/>
        <w:jc w:val="both"/>
      </w:pPr>
      <w:r>
        <w:rPr>
          <w:rFonts w:ascii="Arial" w:cs="Arial" w:eastAsia="Arial" w:hAnsi="Arial"/>
          <w:sz w:val="24"/>
          <w:szCs w:val="24"/>
        </w:rPr>
        <w:t xml:space="preserve">Este MVP utiliza exclusivamente dados secundários de domínio público. Os microdados do YRBS são anônimos e disponibilizados pelo CDC sem restrição de acesso. Os dados do Pew Research Center são publicados em relatórios de acesso aberto. Não há possibilidade de identificação individual dos participantes em nenhuma das fontes. Por se tratar de análise de dados secundários públicos, não foi necessária submissão a comitê de ética.</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Capítulo 3 — Metodologia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2026-04-11T00:39:02.354Z</dcterms:created>
  <dcterms:modified xsi:type="dcterms:W3CDTF">2026-04-11T00:39:02.355Z</dcterms:modified>
</cp:coreProperties>
</file>

<file path=docProps/custom.xml><?xml version="1.0" encoding="utf-8"?>
<Properties xmlns="http://schemas.openxmlformats.org/officeDocument/2006/custom-properties" xmlns:vt="http://schemas.openxmlformats.org/officeDocument/2006/docPropsVTypes"/>
</file>