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4. Resultados</w:t>
      </w:r>
    </w:p>
    <w:p>
      <w:pPr>
        <w:spacing w:after="160" w:line="360"/>
        <w:ind w:firstLine="720"/>
        <w:jc w:val="both"/>
      </w:pPr>
      <w:r>
        <w:rPr>
          <w:rFonts w:ascii="Arial" w:cs="Arial" w:eastAsia="Arial" w:hAnsi="Arial"/>
          <w:sz w:val="24"/>
          <w:szCs w:val="24"/>
        </w:rPr>
        <w:t xml:space="preserve">Este capítulo apresenta os resultados organizados em duas partes. A Parte A reporta a análise de correlação de séries temporais entre dados agregados de depressão (YRBS) e uso de redes sociais (Pew Research) para o período 2011–2023. A Parte B reporta a análise intra-survey dos microdados do YRBS 2023, examinando a associação entre frequência de uso de redes sociais e sintomas depressivos no nível individual.</w:t>
      </w:r>
    </w:p>
    <w:p>
      <w:pPr>
        <w:pStyle w:val="Heading2"/>
      </w:pPr>
      <w:r>
        <w:rPr>
          <w:rFonts w:ascii="Arial" w:cs="Arial" w:eastAsia="Arial" w:hAnsi="Arial"/>
        </w:rPr>
        <w:t xml:space="preserve">4.1 Parte A — Análise de séries temporais (2011–2023)</w:t>
      </w:r>
    </w:p>
    <w:p>
      <w:pPr>
        <w:pStyle w:val="Heading3"/>
      </w:pPr>
      <w:r>
        <w:rPr>
          <w:rFonts w:ascii="Arial" w:cs="Arial" w:eastAsia="Arial" w:hAnsi="Arial"/>
        </w:rPr>
        <w:t xml:space="preserve">4.1.1 Descrição das séries temporais</w:t>
      </w:r>
    </w:p>
    <w:p>
      <w:pPr>
        <w:spacing w:after="160" w:line="360"/>
        <w:ind w:firstLine="720"/>
        <w:jc w:val="both"/>
      </w:pPr>
      <w:r>
        <w:rPr>
          <w:rFonts w:ascii="Arial" w:cs="Arial" w:eastAsia="Arial" w:hAnsi="Arial"/>
          <w:sz w:val="24"/>
          <w:szCs w:val="24"/>
        </w:rPr>
        <w:t xml:space="preserve">A prevalência de sentimentos persistentes de tristeza ou desesperança entre adolescentes norte-americanos (YRBS) aumentou de 28,5% em 2011 para 39,7% em 2023, com pico de 42,3% em 2021. Entre adolescentes do sexo feminino, o crescimento foi de 35,9% para 53,0%; entre o sexo masculino, de 21,5% para 28,0%. O gap de gênero ampliou-se de 14,4 pontos percentuais em 2011 para 25,0 pp em 2023.</w:t>
      </w:r>
    </w:p>
    <w:p>
      <w:pPr>
        <w:spacing w:after="160" w:line="360"/>
        <w:ind w:firstLine="720"/>
        <w:jc w:val="both"/>
      </w:pPr>
      <w:r>
        <w:rPr>
          <w:rFonts w:ascii="Arial" w:cs="Arial" w:eastAsia="Arial" w:hAnsi="Arial"/>
          <w:sz w:val="24"/>
          <w:szCs w:val="24"/>
        </w:rPr>
        <w:t xml:space="preserve">No eixo de redes sociais (Pew Research), a proporção de adolescentes que reportam estar online “quase constantemente” subiu de 24% em 2014–2015 para 46% em 2022, estabilizando-se nesse patamar até 2024. O Gráfico 1 (disponível no notebook) sobrepõe as duas séries temporais, evidenciando trajetórias ascendentes paralelas no período.</w:t>
      </w:r>
    </w:p>
    <w:p>
      <w:pPr>
        <w:pStyle w:val="Heading3"/>
      </w:pPr>
      <w:r>
        <w:rPr>
          <w:rFonts w:ascii="Arial" w:cs="Arial" w:eastAsia="Arial" w:hAnsi="Arial"/>
        </w:rPr>
        <w:t xml:space="preserve">4.1.2 Correlação principal</w:t>
      </w:r>
    </w:p>
    <w:p>
      <w:pPr>
        <w:spacing w:after="160" w:line="360"/>
        <w:ind w:firstLine="720"/>
        <w:jc w:val="both"/>
      </w:pPr>
      <w:r>
        <w:rPr>
          <w:rFonts w:ascii="Arial" w:cs="Arial" w:eastAsia="Arial" w:hAnsi="Arial"/>
          <w:sz w:val="24"/>
          <w:szCs w:val="24"/>
        </w:rPr>
        <w:t xml:space="preserve">A Tabela 1 resume os resultados dos testes de correlação entre a prevalência de depressão (YRBS) e a proporção de adolescentes online constantemente (Pew), com dados interpolados linearmente para alinhamento temporal (n = 13 pontos anuais, 2011–2023):</w:t>
      </w:r>
    </w:p>
    <w:p>
      <w:pPr>
        <w:spacing w:after="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Análise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Pearson r</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 (Pearson)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Spearman ρ</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 (Spearman)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Overall (n=13)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+0,87</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0,000001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Feminino (n=13)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0,000001</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Masculino (n=13)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+0,79</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Robustez sem 2021 (n=12)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0,000001</w:t>
            </w:r>
          </w:p>
        </w:tc>
      </w:tr>
    </w:tbl>
    <w:p>
      <w:pPr>
        <w:spacing w:after="160" w:line="360"/>
        <w:ind w:firstLine="720"/>
        <w:jc w:val="both"/>
      </w:pPr>
      <w:r>
        <w:rPr>
          <w:rFonts w:ascii="Arial" w:cs="Arial" w:eastAsia="Arial" w:hAnsi="Arial"/>
          <w:b/>
          <w:bCs/>
          <w:i/>
          <w:iCs/>
          <w:sz w:val="24"/>
          <w:szCs w:val="24"/>
        </w:rPr>
        <w:t xml:space="preserve">Tabela 1. </w:t>
      </w:r>
      <w:r>
        <w:rPr>
          <w:rFonts w:ascii="Arial" w:cs="Arial" w:eastAsia="Arial" w:hAnsi="Arial"/>
          <w:i/>
          <w:iCs/>
          <w:sz w:val="24"/>
          <w:szCs w:val="24"/>
        </w:rPr>
        <w:t xml:space="preserve">Correlação entre prevalência de depressão (YRBS) e uso constante de redes sociais (Pew), 2011–2023.</w:t>
      </w:r>
    </w:p>
    <w:p>
      <w:pPr>
        <w:spacing w:after="80"/>
      </w:pPr>
    </w:p>
    <w:p>
      <w:pPr>
        <w:spacing w:after="160" w:line="360"/>
        <w:ind w:firstLine="720"/>
        <w:jc w:val="both"/>
      </w:pPr>
      <w:r>
        <w:rPr>
          <w:rFonts w:ascii="Arial" w:cs="Arial" w:eastAsia="Arial" w:hAnsi="Arial"/>
          <w:sz w:val="24"/>
          <w:szCs w:val="24"/>
        </w:rPr>
        <w:t xml:space="preserve">A correlação é positiva, forte e estatisticamente significativa em todas as análises (p &lt; 0,001). O coeficiente de Pearson de +0,87 indica que 76% da variação nos indicadores de depressão pode ser explicada estatisticamente pela variação no uso constante de redes sociais (R² = 0,76). A correlação de Spearman (+0,98) é ainda mais forte, sugerindo uma associação monotônica quase perfeita.</w:t>
      </w:r>
    </w:p>
    <w:p>
      <w:pPr>
        <w:pStyle w:val="Heading3"/>
      </w:pPr>
      <w:r>
        <w:rPr>
          <w:rFonts w:ascii="Arial" w:cs="Arial" w:eastAsia="Arial" w:hAnsi="Arial"/>
        </w:rPr>
        <w:t xml:space="preserve">4.1.3 Estratificação por sexo e teste de robustez</w:t>
      </w:r>
    </w:p>
    <w:p>
      <w:pPr>
        <w:spacing w:after="160" w:line="360"/>
        <w:ind w:firstLine="720"/>
        <w:jc w:val="both"/>
      </w:pPr>
      <w:r>
        <w:rPr>
          <w:rFonts w:ascii="Arial" w:cs="Arial" w:eastAsia="Arial" w:hAnsi="Arial"/>
          <w:sz w:val="24"/>
          <w:szCs w:val="24"/>
        </w:rPr>
        <w:t xml:space="preserve">A correlação é forte tanto para adolescentes do sexo feminino (r = +0,85) quanto para o masculino (r = +0,82), sem diferença substancial entre os sexos no nível ecológico. O teste de robustez, excluindo o ano de 2021 (período pandêmico), mantém a correlação praticamente inalterada (r = +0,88; p = 0,0002), indicando que o resultado não depende de um único ponto outlier associado à COVID-19.</w:t>
      </w:r>
    </w:p>
    <w:p>
      <w:r>
        <w:br w:type="page"/>
      </w:r>
    </w:p>
    <w:p>
      <w:pPr>
        <w:pStyle w:val="Heading2"/>
      </w:pPr>
      <w:r>
        <w:rPr>
          <w:rFonts w:ascii="Arial" w:cs="Arial" w:eastAsia="Arial" w:hAnsi="Arial"/>
        </w:rPr>
        <w:t xml:space="preserve">4.2 Parte B — Análise intra-survey (YRBS 2023)</w:t>
      </w:r>
    </w:p>
    <w:p>
      <w:pPr>
        <w:pStyle w:val="Heading3"/>
      </w:pPr>
      <w:r>
        <w:rPr>
          <w:rFonts w:ascii="Arial" w:cs="Arial" w:eastAsia="Arial" w:hAnsi="Arial"/>
        </w:rPr>
        <w:t xml:space="preserve">4.2.1 Características da amostra</w:t>
      </w:r>
    </w:p>
    <w:p>
      <w:pPr>
        <w:spacing w:after="160" w:line="360"/>
        <w:ind w:firstLine="720"/>
        <w:jc w:val="both"/>
      </w:pPr>
      <w:r>
        <w:rPr>
          <w:rFonts w:ascii="Arial" w:cs="Arial" w:eastAsia="Arial" w:hAnsi="Arial"/>
          <w:sz w:val="24"/>
          <w:szCs w:val="24"/>
        </w:rPr>
        <w:t xml:space="preserve">A análise utilizou os microdados do YRBS 2023 nacional, com 16.535 registros válidos para as variáveis de interesse (Q87 e QN26). A amostra divide-se em 49,2% do sexo feminino e 50,1% do masculino. A prevalência geral de sintomas depressivos (tristeza/desesperança persistente) foi de 40,7%, com 52,6% entre meninas e 28,2% entre meninos.</w:t>
      </w:r>
    </w:p>
    <w:p>
      <w:pPr>
        <w:pStyle w:val="Heading3"/>
      </w:pPr>
      <w:r>
        <w:rPr>
          <w:rFonts w:ascii="Arial" w:cs="Arial" w:eastAsia="Arial" w:hAnsi="Arial"/>
        </w:rPr>
        <w:t xml:space="preserve">4.2.2 Frequência de uso de redes sociais</w:t>
      </w:r>
    </w:p>
    <w:p>
      <w:pPr>
        <w:spacing w:after="160" w:line="360"/>
        <w:ind w:firstLine="720"/>
        <w:jc w:val="both"/>
      </w:pPr>
      <w:r>
        <w:rPr>
          <w:rFonts w:ascii="Arial" w:cs="Arial" w:eastAsia="Arial" w:hAnsi="Arial"/>
          <w:sz w:val="24"/>
          <w:szCs w:val="24"/>
        </w:rPr>
        <w:t xml:space="preserve">A variável Q87 avalia a frequência de uso de redes sociais em sete níveis, desde “não uso redes sociais” até “mais de uma vez por hora”. A distribuição ponderada mostrou que 39,8% dos estudantes usam redes sociais mais de uma vez por hora, 30,8% usam aproximadamente uma vez por hora, e 16,1% usam várias vezes por dia. Apenas 4,6% declararam não usar redes sociais.</w:t>
      </w:r>
    </w:p>
    <w:p>
      <w:pPr>
        <w:pStyle w:val="Heading3"/>
      </w:pPr>
      <w:r>
        <w:rPr>
          <w:rFonts w:ascii="Arial" w:cs="Arial" w:eastAsia="Arial" w:hAnsi="Arial"/>
        </w:rPr>
        <w:t xml:space="preserve">4.2.3 Relação dose-resposta</w:t>
      </w:r>
    </w:p>
    <w:p>
      <w:pPr>
        <w:spacing w:after="160" w:line="360"/>
        <w:ind w:firstLine="720"/>
        <w:jc w:val="both"/>
      </w:pPr>
      <w:r>
        <w:rPr>
          <w:rFonts w:ascii="Arial" w:cs="Arial" w:eastAsia="Arial" w:hAnsi="Arial"/>
          <w:sz w:val="24"/>
          <w:szCs w:val="24"/>
        </w:rPr>
        <w:t xml:space="preserve">A Tabela 2 apresenta a prevalência ponderada de depressão por nível de frequência de uso de redes sociais. Os resultados revelam um padrão não linear:</w:t>
      </w:r>
    </w:p>
    <w:p>
      <w:pPr>
        <w:spacing w:after="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16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Frequência de uso (Q87)</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Depressão (%)</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Direção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Mais de 1x por hora (maior freq.)</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31,6%</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6.585</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menor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 por hora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5.094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Várias vezes por dia</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48,1%</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2.667</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 por dia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1–poucas vezes por semana</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59,8%</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506</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maior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Poucas vezes por mês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Não usa redes sociais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42,4%</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762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intermediário</w:t>
            </w:r>
          </w:p>
        </w:tc>
      </w:tr>
    </w:tbl>
    <w:p>
      <w:pPr>
        <w:spacing w:after="160" w:line="360"/>
        <w:ind w:firstLine="720"/>
        <w:jc w:val="both"/>
      </w:pPr>
      <w:r>
        <w:rPr>
          <w:rFonts w:ascii="Arial" w:cs="Arial" w:eastAsia="Arial" w:hAnsi="Arial"/>
          <w:b/>
          <w:bCs/>
          <w:i/>
          <w:iCs/>
          <w:sz w:val="24"/>
          <w:szCs w:val="24"/>
        </w:rPr>
        <w:t xml:space="preserve">Tabela 2. </w:t>
      </w:r>
      <w:r>
        <w:rPr>
          <w:rFonts w:ascii="Arial" w:cs="Arial" w:eastAsia="Arial" w:hAnsi="Arial"/>
          <w:i/>
          <w:iCs/>
          <w:sz w:val="24"/>
          <w:szCs w:val="24"/>
        </w:rPr>
        <w:t xml:space="preserve">Prevalência ponderada de depressão por frequência de uso de redes sociais. YRBS 2023 (N = 16.535).</w:t>
      </w:r>
    </w:p>
    <w:p>
      <w:pPr>
        <w:spacing w:after="80"/>
      </w:pPr>
    </w:p>
    <w:p>
      <w:pPr>
        <w:spacing w:after="160" w:line="360"/>
        <w:ind w:firstLine="720"/>
        <w:jc w:val="both"/>
      </w:pPr>
      <w:r>
        <w:rPr>
          <w:rFonts w:ascii="Arial" w:cs="Arial" w:eastAsia="Arial" w:hAnsi="Arial"/>
          <w:sz w:val="24"/>
          <w:szCs w:val="24"/>
        </w:rPr>
        <w:t xml:space="preserve">O padrão observado é notável: a depressão não aumenta linearmente com a frequência de uso. Os usuários mais intensivos (mais de 1x por hora) apresentam a menor prevalência de depressão (31,6%), enquanto os usuários de frequência intermediária (1x por dia a 1x por semana) apresentam a maior (55,0% a 59,8%). Os não usuários situam-se em nível intermediário (42,4%). Esse padrão é consistente com a hipótese da “curva Goldilocks” proposta por Przybylski e Weinstein (2017), que sugere que o uso moderado pode não ser prejudicial e que os efeitos negativos se concentram em padrões específicos de uso.</w:t>
      </w:r>
    </w:p>
    <w:p>
      <w:pPr>
        <w:spacing w:after="160" w:line="360"/>
        <w:ind w:firstLine="720"/>
        <w:jc w:val="both"/>
      </w:pPr>
      <w:r>
        <w:rPr>
          <w:rFonts w:ascii="Arial" w:cs="Arial" w:eastAsia="Arial" w:hAnsi="Arial"/>
          <w:sz w:val="24"/>
          <w:szCs w:val="24"/>
        </w:rPr>
        <w:t xml:space="preserve">Uma interpretação alternativa é que o grupo de uso mais intensivo (&gt;1x/hora, n = 6.585) pode representar adolescentes com redes sociais bem integradas ao seu dia a dia — com conexões sociais ativas e suporte de pares — enquanto o grupo de uso intermediário pode incluir adolescentes em situação de comparação social ou uso passivo, que a literatura associa a piores desfechos (Frison e Eggermont, 2016). Esta hipótese não pode ser testada com os dados disponíveis e constitui uma direção para pesquisa futura.</w:t>
      </w:r>
    </w:p>
    <w:p>
      <w:pPr>
        <w:pStyle w:val="Heading3"/>
      </w:pPr>
      <w:r>
        <w:rPr>
          <w:rFonts w:ascii="Arial" w:cs="Arial" w:eastAsia="Arial" w:hAnsi="Arial"/>
        </w:rPr>
        <w:t xml:space="preserve">4.2.4 Estratificação por sexo</w:t>
      </w:r>
    </w:p>
    <w:p>
      <w:pPr>
        <w:spacing w:after="160" w:line="360"/>
        <w:ind w:firstLine="720"/>
        <w:jc w:val="both"/>
      </w:pPr>
      <w:r>
        <w:rPr>
          <w:rFonts w:ascii="Arial" w:cs="Arial" w:eastAsia="Arial" w:hAnsi="Arial"/>
          <w:sz w:val="24"/>
          <w:szCs w:val="24"/>
        </w:rPr>
        <w:t xml:space="preserve">O padrão dose-resposta não linear se mantém em ambos os sexos. Entre meninas, a depressão varia de 51,0% (uso mais frequente) a 67,0% (uso infrequente). Entre meninos, de 26,4% a 41,5%. Em ambos os casos, o uso mais intensivo de redes sociais está associado a menor prevalência de depressão do que o uso infrequente — resultado que desafia a narrativa simplificada de que “mais redes sociais = mais depressão”.</w:t>
      </w:r>
    </w:p>
    <w:p>
      <w:r>
        <w:br w:type="page"/>
      </w:r>
    </w:p>
    <w:p>
      <w:pPr>
        <w:pStyle w:val="Heading2"/>
      </w:pPr>
      <w:r>
        <w:rPr>
          <w:rFonts w:ascii="Arial" w:cs="Arial" w:eastAsia="Arial" w:hAnsi="Arial"/>
        </w:rPr>
        <w:t xml:space="preserve">4.3 Síntese dos resultados</w:t>
      </w:r>
    </w:p>
    <w:p>
      <w:pPr>
        <w:spacing w:after="160" w:line="360"/>
        <w:ind w:firstLine="720"/>
        <w:jc w:val="both"/>
      </w:pPr>
      <w:r>
        <w:rPr>
          <w:rFonts w:ascii="Arial" w:cs="Arial" w:eastAsia="Arial" w:hAnsi="Arial"/>
          <w:sz w:val="24"/>
          <w:szCs w:val="24"/>
        </w:rPr>
        <w:t xml:space="preserve">Os resultados deste MVP revelam uma tensão produtiva entre os dois níveis de análise:</w:t>
      </w:r>
    </w:p>
    <w:p>
      <w:pPr>
        <w:spacing w:after="160" w:line="360"/>
        <w:ind w:firstLine="720"/>
        <w:jc w:val="both"/>
      </w:pPr>
      <w:r>
        <w:rPr>
          <w:rFonts w:ascii="Arial" w:cs="Arial" w:eastAsia="Arial" w:hAnsi="Arial"/>
          <w:b/>
          <w:bCs/>
          <w:sz w:val="24"/>
          <w:szCs w:val="24"/>
        </w:rPr>
        <w:t xml:space="preserve">No nível ecológico (Parte A), </w:t>
      </w:r>
      <w:r>
        <w:rPr>
          <w:rFonts w:ascii="Arial" w:cs="Arial" w:eastAsia="Arial" w:hAnsi="Arial"/>
          <w:sz w:val="24"/>
          <w:szCs w:val="24"/>
        </w:rPr>
        <w:t xml:space="preserve">a correlação temporal entre uso de redes sociais e depressão adolescente é forte, positiva e significativa (r = +0,87; p = 0,0001). Ambos os indicadores subiram de forma aproximadamente paralela entre 2011 e 2023. A hipótese nula (H₀) é rejeitada.</w:t>
      </w:r>
    </w:p>
    <w:p>
      <w:pPr>
        <w:spacing w:after="160" w:line="360"/>
        <w:ind w:firstLine="720"/>
        <w:jc w:val="both"/>
      </w:pPr>
      <w:r>
        <w:rPr>
          <w:rFonts w:ascii="Arial" w:cs="Arial" w:eastAsia="Arial" w:hAnsi="Arial"/>
          <w:b/>
          <w:bCs/>
          <w:sz w:val="24"/>
          <w:szCs w:val="24"/>
        </w:rPr>
        <w:t xml:space="preserve">No nível individual (Parte B), </w:t>
      </w:r>
      <w:r>
        <w:rPr>
          <w:rFonts w:ascii="Arial" w:cs="Arial" w:eastAsia="Arial" w:hAnsi="Arial"/>
          <w:sz w:val="24"/>
          <w:szCs w:val="24"/>
        </w:rPr>
        <w:t xml:space="preserve">a relação é mais complexa do que uma simples correlação positiva. A análise dose-resposta dos microdados do YRBS 2023 mostra que os usuários mais intensivos de redes sociais apresentam menor prevalência de depressão do que usuários de frequência intermediária. Esse padrão não linear sugere que a relação entre uso de redes sociais e depressão é mediada por fatores que a análise ecológica não captura.</w:t>
      </w:r>
    </w:p>
    <w:p>
      <w:pPr>
        <w:spacing w:after="160" w:line="360"/>
        <w:ind w:firstLine="720"/>
        <w:jc w:val="both"/>
      </w:pPr>
      <w:r>
        <w:rPr>
          <w:rFonts w:ascii="Arial" w:cs="Arial" w:eastAsia="Arial" w:hAnsi="Arial"/>
          <w:sz w:val="24"/>
          <w:szCs w:val="24"/>
        </w:rPr>
        <w:t xml:space="preserve">Essa divergência entre os níveis de análise é ela própria um achado relevante: demonstra empiricamente a falácia ecológica — correlações observadas no nível populacional não se traduzem necessariamente em relações idênticas no nível individual. A discussão das implicações deste achado é aprofundada no Capítulo 5.</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Capítulo 4 — Resultados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2026-04-11T00:45:56.305Z</dcterms:created>
  <dcterms:modified xsi:type="dcterms:W3CDTF">2026-04-11T00:45:56.306Z</dcterms:modified>
</cp:coreProperties>
</file>

<file path=docProps/custom.xml><?xml version="1.0" encoding="utf-8"?>
<Properties xmlns="http://schemas.openxmlformats.org/officeDocument/2006/custom-properties" xmlns:vt="http://schemas.openxmlformats.org/officeDocument/2006/docPropsVTypes"/>
</file>