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</w:rPr>
        <w:t xml:space="preserve">6. Conclusão</w:t>
      </w:r>
    </w:p>
    <w:p>
      <w:pPr>
        <w:spacing w:after="160" w:line="360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Este MVP investigou a correlação entre o aumento do uso de redes sociais e o aumento de sintomas depressivos entre adolescentes norte-americanos de 13 a 17 anos, no período de 2011 a 2023, utilizando dados do CDC Youth Risk Behavior Survey e do Pew Research Center.</w:t>
      </w:r>
    </w:p>
    <w:p>
      <w:pPr>
        <w:spacing w:after="160" w:line="360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A análise de séries temporais (Parte A) confirmou a hipótese principal: existe correlação positiva, forte e estatisticamente significativa entre os dois indicadores (Pearson r = +0,87; Spearman ρ = +0,98; p &lt; 0,001). A correlação é robusta à exclusão do período pandêmico (2021) e presente em ambos os sexos. A hipótese nula (H₀) foi rejeitada.</w:t>
      </w:r>
    </w:p>
    <w:p>
      <w:pPr>
        <w:spacing w:after="160" w:line="360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A análise intra-survey dos microdados do YRBS 2023 (Parte B), no entanto, revelou que a relação no nível individual é substancialmente mais complexa. O padrão dose-resposta observado é não linear: os usuários mais intensivos de redes sociais apresentam menor prevalência de depressão do que usuários de frequência intermediária, sugerindo que a relação é mediada por fatores que a análise ecológica não captura — como o tipo de uso (ativo vs. passivo), a qualidade das interações, e a direção da causalidade.</w:t>
      </w:r>
    </w:p>
    <w:p>
      <w:pPr>
        <w:spacing w:after="160" w:line="360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A divergência entre os dois níveis de análise constitui a contribuição mais relevante deste MVP: demonstra empiricamente a falácia ecológica neste domínio de pesquisa e reforça a necessidade de cautela na tradução de correlações populacionais em políticas públicas direcionadas a indivíduos.</w:t>
      </w:r>
    </w:p>
    <w:p>
      <w:pPr>
        <w:spacing w:after="160" w:line="360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Os resultados são consistentes com a visão emergente na literatura de que a relação entre redes sociais e saúde mental adolescente não se reduz a uma equação simples de “mais uso = mais depressão”. Intervenções eficazes provavelmente demandarão abordagens que distingam entre padrões de uso benéficos e prejudiciais, em vez de restrições quantitativas uniformes. O detalhamento dessas abordagens escapa ao escopo do presente MVP e constitui uma agenda de pesquisa futura de alta relevância.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Capítulo 6 — Conclusão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2026-04-11T18:55:20.258Z</dcterms:created>
  <dcterms:modified xsi:type="dcterms:W3CDTF">2026-04-11T18:55:20.259Z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