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2A395" w14:textId="77777777" w:rsidR="00D97D62" w:rsidRPr="007273EA" w:rsidRDefault="00D97D62" w:rsidP="00F03951">
      <w:pPr>
        <w:spacing w:after="0" w:line="264" w:lineRule="auto"/>
        <w:rPr>
          <w:b/>
          <w:bCs/>
          <w:sz w:val="28"/>
          <w:szCs w:val="28"/>
        </w:rPr>
      </w:pPr>
      <w:r w:rsidRPr="007273EA">
        <w:rPr>
          <w:b/>
          <w:bCs/>
          <w:sz w:val="28"/>
          <w:szCs w:val="28"/>
        </w:rPr>
        <w:t>Supplemental materials</w:t>
      </w:r>
    </w:p>
    <w:p w14:paraId="6FEA7DD7" w14:textId="77777777" w:rsidR="00D97D62" w:rsidRPr="007273EA" w:rsidRDefault="00D97D62" w:rsidP="00F03951">
      <w:pPr>
        <w:spacing w:after="0" w:line="264" w:lineRule="auto"/>
        <w:rPr>
          <w:b/>
          <w:bCs/>
        </w:rPr>
      </w:pPr>
    </w:p>
    <w:p w14:paraId="11EAA4E8" w14:textId="77777777" w:rsidR="00D97D62" w:rsidRPr="007273EA" w:rsidRDefault="00D97D62" w:rsidP="00F03951">
      <w:pPr>
        <w:spacing w:after="0" w:line="264" w:lineRule="auto"/>
        <w:rPr>
          <w:b/>
          <w:bCs/>
          <w:sz w:val="28"/>
          <w:szCs w:val="28"/>
        </w:rPr>
      </w:pPr>
      <w:r w:rsidRPr="007273EA">
        <w:rPr>
          <w:b/>
          <w:bCs/>
        </w:rPr>
        <w:t>Computing spectrogram based on Morlet wavelet transform</w:t>
      </w:r>
    </w:p>
    <w:p w14:paraId="71C51F3C" w14:textId="77777777" w:rsidR="00D97D62" w:rsidRPr="007273EA" w:rsidRDefault="00D97D62" w:rsidP="00F03951">
      <w:pPr>
        <w:spacing w:after="0"/>
        <w:ind w:firstLine="720"/>
      </w:pPr>
      <w:r w:rsidRPr="007273EA">
        <w:t>For the spectrogram in Figure 3B, we computed a continuous wavelet transform in MATLAB using complex Morlet wavelets (</w:t>
      </w:r>
      <m:oMath>
        <m:r>
          <w:rPr>
            <w:rFonts w:ascii="Cambria Math" w:hAnsi="Cambria Math"/>
          </w:rPr>
          <m:t>ψ(t)</m:t>
        </m:r>
      </m:oMath>
      <w:r w:rsidRPr="007273EA">
        <w:rPr>
          <w:rFonts w:eastAsiaTheme="minorEastAsia"/>
        </w:rPr>
        <w:t>)</w:t>
      </w:r>
      <w:r w:rsidRPr="007273EA">
        <w:t xml:space="preserve"> defined by the following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370"/>
        <w:gridCol w:w="445"/>
      </w:tblGrid>
      <w:tr w:rsidR="007273EA" w:rsidRPr="007273EA" w14:paraId="6B1585CC" w14:textId="77777777" w:rsidTr="00F03951">
        <w:tc>
          <w:tcPr>
            <w:tcW w:w="535" w:type="dxa"/>
          </w:tcPr>
          <w:p w14:paraId="324C4186" w14:textId="77777777" w:rsidR="00D97D62" w:rsidRPr="007273EA" w:rsidRDefault="00D97D62" w:rsidP="00F03951"/>
        </w:tc>
        <w:tc>
          <w:tcPr>
            <w:tcW w:w="8370" w:type="dxa"/>
            <w:vAlign w:val="center"/>
            <w:hideMark/>
          </w:tcPr>
          <w:p w14:paraId="327A8DEB" w14:textId="77777777" w:rsidR="00D97D62" w:rsidRPr="007273EA" w:rsidRDefault="00D97D62" w:rsidP="00F03951">
            <w:pPr>
              <w:jc w:val="center"/>
            </w:pPr>
            <m:oMathPara>
              <m:oMath>
                <m:r>
                  <w:rPr>
                    <w:rFonts w:ascii="Cambria Math" w:hAnsi="Cambria Math"/>
                  </w:rPr>
                  <m:t>ψ</m:t>
                </m:r>
                <m:d>
                  <m:dPr>
                    <m:ctrlPr>
                      <w:rPr>
                        <w:rFonts w:ascii="Cambria Math" w:hAnsi="Cambria Math"/>
                        <w:i/>
                        <w:iCs/>
                        <w:sz w:val="22"/>
                        <w:szCs w:val="22"/>
                      </w:rPr>
                    </m:ctrlPr>
                  </m:dPr>
                  <m:e>
                    <m:r>
                      <w:rPr>
                        <w:rFonts w:ascii="Cambria Math" w:hAnsi="Cambria Math"/>
                      </w:rPr>
                      <m:t>t</m:t>
                    </m:r>
                  </m:e>
                </m:d>
                <m:r>
                  <w:rPr>
                    <w:rFonts w:ascii="Cambria Math" w:hAnsi="Cambria Math"/>
                  </w:rPr>
                  <m:t xml:space="preserve">= </m:t>
                </m:r>
                <m:f>
                  <m:fPr>
                    <m:ctrlPr>
                      <w:rPr>
                        <w:rFonts w:ascii="Cambria Math" w:hAnsi="Cambria Math"/>
                        <w:i/>
                        <w:iCs/>
                        <w:sz w:val="22"/>
                        <w:szCs w:val="22"/>
                      </w:rPr>
                    </m:ctrlPr>
                  </m:fPr>
                  <m:num>
                    <m:r>
                      <w:rPr>
                        <w:rFonts w:ascii="Cambria Math" w:hAnsi="Cambria Math"/>
                      </w:rPr>
                      <m:t>1</m:t>
                    </m:r>
                  </m:num>
                  <m:den>
                    <m:rad>
                      <m:radPr>
                        <m:degHide m:val="1"/>
                        <m:ctrlPr>
                          <w:rPr>
                            <w:rFonts w:ascii="Cambria Math" w:hAnsi="Cambria Math"/>
                            <w:i/>
                            <w:iCs/>
                            <w:sz w:val="22"/>
                            <w:szCs w:val="22"/>
                          </w:rPr>
                        </m:ctrlPr>
                      </m:radPr>
                      <m:deg/>
                      <m:e>
                        <m:r>
                          <w:rPr>
                            <w:rFonts w:ascii="Cambria Math" w:hAnsi="Cambria Math"/>
                          </w:rPr>
                          <m:t>π</m:t>
                        </m:r>
                        <m:sSub>
                          <m:sSubPr>
                            <m:ctrlPr>
                              <w:rPr>
                                <w:rFonts w:ascii="Cambria Math" w:hAnsi="Cambria Math"/>
                                <w:i/>
                                <w:iCs/>
                                <w:sz w:val="22"/>
                                <w:szCs w:val="22"/>
                              </w:rPr>
                            </m:ctrlPr>
                          </m:sSubPr>
                          <m:e>
                            <m:r>
                              <w:rPr>
                                <w:rFonts w:ascii="Cambria Math" w:hAnsi="Cambria Math"/>
                              </w:rPr>
                              <m:t>F</m:t>
                            </m:r>
                          </m:e>
                          <m:sub>
                            <m:r>
                              <w:rPr>
                                <w:rFonts w:ascii="Cambria Math" w:hAnsi="Cambria Math"/>
                              </w:rPr>
                              <m:t>b</m:t>
                            </m:r>
                          </m:sub>
                        </m:sSub>
                      </m:e>
                    </m:rad>
                  </m:den>
                </m:f>
                <m:sSup>
                  <m:sSupPr>
                    <m:ctrlPr>
                      <w:rPr>
                        <w:rFonts w:ascii="Cambria Math" w:hAnsi="Cambria Math"/>
                        <w:i/>
                        <w:iCs/>
                        <w:sz w:val="22"/>
                        <w:szCs w:val="22"/>
                      </w:rPr>
                    </m:ctrlPr>
                  </m:sSupPr>
                  <m:e>
                    <m:r>
                      <w:rPr>
                        <w:rFonts w:ascii="Cambria Math" w:hAnsi="Cambria Math"/>
                      </w:rPr>
                      <m:t xml:space="preserve"> e</m:t>
                    </m:r>
                  </m:e>
                  <m:sup>
                    <m:r>
                      <w:rPr>
                        <w:rFonts w:ascii="Cambria Math" w:hAnsi="Cambria Math"/>
                      </w:rPr>
                      <m:t>-</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rPr>
                              <m:t>t</m:t>
                            </m:r>
                          </m:e>
                          <m:sup>
                            <m:r>
                              <w:rPr>
                                <w:rFonts w:ascii="Cambria Math" w:hAnsi="Cambria Math"/>
                              </w:rPr>
                              <m:t>2</m:t>
                            </m:r>
                          </m:sup>
                        </m:sSup>
                      </m:num>
                      <m:den>
                        <m:sSub>
                          <m:sSubPr>
                            <m:ctrlPr>
                              <w:rPr>
                                <w:rFonts w:ascii="Cambria Math" w:hAnsi="Cambria Math"/>
                                <w:i/>
                                <w:iCs/>
                                <w:sz w:val="22"/>
                                <w:szCs w:val="22"/>
                              </w:rPr>
                            </m:ctrlPr>
                          </m:sSubPr>
                          <m:e>
                            <m:r>
                              <w:rPr>
                                <w:rFonts w:ascii="Cambria Math" w:hAnsi="Cambria Math"/>
                              </w:rPr>
                              <m:t>F</m:t>
                            </m:r>
                          </m:e>
                          <m:sub>
                            <m:r>
                              <w:rPr>
                                <w:rFonts w:ascii="Cambria Math" w:hAnsi="Cambria Math"/>
                              </w:rPr>
                              <m:t>b</m:t>
                            </m:r>
                          </m:sub>
                        </m:sSub>
                      </m:den>
                    </m:f>
                  </m:sup>
                </m:sSup>
                <m:r>
                  <w:rPr>
                    <w:rFonts w:ascii="Cambria Math" w:hAnsi="Cambria Math"/>
                  </w:rPr>
                  <m:t xml:space="preserve"> </m:t>
                </m:r>
                <m:sSup>
                  <m:sSupPr>
                    <m:ctrlPr>
                      <w:rPr>
                        <w:rFonts w:ascii="Cambria Math" w:hAnsi="Cambria Math"/>
                        <w:i/>
                        <w:iCs/>
                        <w:sz w:val="22"/>
                        <w:szCs w:val="22"/>
                      </w:rPr>
                    </m:ctrlPr>
                  </m:sSupPr>
                  <m:e>
                    <m:r>
                      <w:rPr>
                        <w:rFonts w:ascii="Cambria Math" w:hAnsi="Cambria Math"/>
                      </w:rPr>
                      <m:t>e</m:t>
                    </m:r>
                  </m:e>
                  <m:sup>
                    <m:r>
                      <w:rPr>
                        <w:rFonts w:ascii="Cambria Math" w:hAnsi="Cambria Math"/>
                      </w:rPr>
                      <m:t>i2π</m:t>
                    </m:r>
                    <m:sSub>
                      <m:sSubPr>
                        <m:ctrlPr>
                          <w:rPr>
                            <w:rFonts w:ascii="Cambria Math" w:hAnsi="Cambria Math"/>
                            <w:i/>
                            <w:iCs/>
                            <w:sz w:val="22"/>
                            <w:szCs w:val="22"/>
                          </w:rPr>
                        </m:ctrlPr>
                      </m:sSubPr>
                      <m:e>
                        <m:r>
                          <w:rPr>
                            <w:rFonts w:ascii="Cambria Math" w:hAnsi="Cambria Math"/>
                          </w:rPr>
                          <m:t>F</m:t>
                        </m:r>
                      </m:e>
                      <m:sub>
                        <m:r>
                          <w:rPr>
                            <w:rFonts w:ascii="Cambria Math" w:hAnsi="Cambria Math"/>
                          </w:rPr>
                          <m:t>c</m:t>
                        </m:r>
                      </m:sub>
                    </m:sSub>
                    <m:r>
                      <w:rPr>
                        <w:rFonts w:ascii="Cambria Math" w:hAnsi="Cambria Math"/>
                      </w:rPr>
                      <m:t>t</m:t>
                    </m:r>
                  </m:sup>
                </m:sSup>
              </m:oMath>
            </m:oMathPara>
          </w:p>
        </w:tc>
        <w:tc>
          <w:tcPr>
            <w:tcW w:w="445" w:type="dxa"/>
            <w:vAlign w:val="center"/>
            <w:hideMark/>
          </w:tcPr>
          <w:p w14:paraId="22A33ADA" w14:textId="77777777" w:rsidR="00D97D62" w:rsidRPr="007273EA" w:rsidRDefault="00D97D62" w:rsidP="00F03951">
            <w:pPr>
              <w:jc w:val="center"/>
            </w:pPr>
            <w:r w:rsidRPr="007273EA">
              <w:t>2</w:t>
            </w:r>
          </w:p>
        </w:tc>
      </w:tr>
    </w:tbl>
    <w:p w14:paraId="33BAE3B0" w14:textId="77777777" w:rsidR="00D97D62" w:rsidRPr="007273EA" w:rsidRDefault="00D97D62" w:rsidP="00F03951">
      <w:pPr>
        <w:spacing w:after="0"/>
      </w:pPr>
      <w:r w:rsidRPr="007273EA">
        <w:t xml:space="preserve">In this equation, </w:t>
      </w:r>
      <m:oMath>
        <m:r>
          <w:rPr>
            <w:rFonts w:ascii="Cambria Math" w:hAnsi="Cambria Math"/>
          </w:rPr>
          <m:t>t</m:t>
        </m:r>
      </m:oMath>
      <w:r w:rsidRPr="007273EA">
        <w:rPr>
          <w:i/>
          <w:iCs/>
        </w:rPr>
        <w:t xml:space="preserve"> </w:t>
      </w:r>
      <w:r w:rsidRPr="007273EA">
        <w:t xml:space="preserve">is time,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Pr="007273EA">
        <w:t xml:space="preserve"> is the center frequency of the wavelet, and </w:t>
      </w:r>
      <m:oMath>
        <m:sSub>
          <m:sSubPr>
            <m:ctrlPr>
              <w:rPr>
                <w:rFonts w:ascii="Cambria Math" w:hAnsi="Cambria Math"/>
                <w:i/>
              </w:rPr>
            </m:ctrlPr>
          </m:sSubPr>
          <m:e>
            <m:r>
              <w:rPr>
                <w:rFonts w:ascii="Cambria Math" w:hAnsi="Cambria Math"/>
              </w:rPr>
              <m:t>F</m:t>
            </m:r>
          </m:e>
          <m:sub>
            <m:r>
              <w:rPr>
                <w:rFonts w:ascii="Cambria Math" w:hAnsi="Cambria Math"/>
              </w:rPr>
              <m:t>b</m:t>
            </m:r>
          </m:sub>
        </m:sSub>
      </m:oMath>
      <w:r w:rsidRPr="007273EA">
        <w:t xml:space="preserve"> controls how fast the wavelet decays in the time domain. The energy spread of the wavelet in the frequency domain is a Gaussian and the parameter </w:t>
      </w:r>
      <m:oMath>
        <m:sSub>
          <m:sSubPr>
            <m:ctrlPr>
              <w:rPr>
                <w:rFonts w:ascii="Cambria Math" w:hAnsi="Cambria Math"/>
                <w:i/>
              </w:rPr>
            </m:ctrlPr>
          </m:sSubPr>
          <m:e>
            <m:r>
              <w:rPr>
                <w:rFonts w:ascii="Cambria Math" w:hAnsi="Cambria Math"/>
              </w:rPr>
              <m:t>F</m:t>
            </m:r>
          </m:e>
          <m:sub>
            <m:r>
              <w:rPr>
                <w:rFonts w:ascii="Cambria Math" w:hAnsi="Cambria Math"/>
              </w:rPr>
              <m:t>b</m:t>
            </m:r>
          </m:sub>
        </m:sSub>
      </m:oMath>
      <w:r w:rsidRPr="007273EA">
        <w:t xml:space="preserve"> is inversely related to the variance </w:t>
      </w:r>
      <w:r w:rsidRPr="007273EA">
        <w:rPr>
          <w:rFonts w:eastAsiaTheme="minorEastAsia"/>
        </w:rPr>
        <w:t>(</w:t>
      </w:r>
      <m:oMath>
        <m:sSubSup>
          <m:sSubSupPr>
            <m:ctrlPr>
              <w:rPr>
                <w:rFonts w:ascii="Cambria Math" w:eastAsiaTheme="minorEastAsia" w:hAnsi="Cambria Math"/>
                <w:i/>
              </w:rPr>
            </m:ctrlPr>
          </m:sSubSupPr>
          <m:e>
            <m:r>
              <w:rPr>
                <w:rFonts w:ascii="Cambria Math" w:hAnsi="Cambria Math"/>
              </w:rPr>
              <m:t>σ</m:t>
            </m:r>
          </m:e>
          <m:sub>
            <m:r>
              <w:rPr>
                <w:rFonts w:ascii="Cambria Math" w:eastAsiaTheme="minorEastAsia" w:hAnsi="Cambria Math"/>
              </w:rPr>
              <m:t>f</m:t>
            </m:r>
          </m:sub>
          <m:sup>
            <m:r>
              <w:rPr>
                <w:rFonts w:ascii="Cambria Math" w:eastAsiaTheme="minorEastAsia" w:hAnsi="Cambria Math"/>
              </w:rPr>
              <m:t>2</m:t>
            </m:r>
          </m:sup>
        </m:sSubSup>
      </m:oMath>
      <w:r w:rsidRPr="007273EA">
        <w:rPr>
          <w:rFonts w:eastAsiaTheme="minorEastAsia"/>
        </w:rPr>
        <w:t>)</w:t>
      </w:r>
      <w:r w:rsidRPr="007273EA">
        <w:t xml:space="preserve"> of this Gaussian by the following relationship: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7273EA" w:rsidRPr="007273EA" w14:paraId="408147DB" w14:textId="77777777" w:rsidTr="00F03951">
        <w:tc>
          <w:tcPr>
            <w:tcW w:w="535" w:type="dxa"/>
          </w:tcPr>
          <w:p w14:paraId="23BDA517" w14:textId="77777777" w:rsidR="00D97D62" w:rsidRPr="007273EA" w:rsidRDefault="00D97D62" w:rsidP="00F03951"/>
        </w:tc>
        <w:tc>
          <w:tcPr>
            <w:tcW w:w="8280" w:type="dxa"/>
            <w:hideMark/>
          </w:tcPr>
          <w:p w14:paraId="3D732824" w14:textId="77777777" w:rsidR="00D97D62" w:rsidRPr="007273EA" w:rsidRDefault="00F94819" w:rsidP="00F03951">
            <m:oMathPara>
              <m:oMath>
                <m:sSub>
                  <m:sSubPr>
                    <m:ctrlPr>
                      <w:rPr>
                        <w:rFonts w:ascii="Cambria Math" w:hAnsi="Cambria Math"/>
                        <w:i/>
                        <w:sz w:val="22"/>
                        <w:szCs w:val="22"/>
                      </w:rPr>
                    </m:ctrlPr>
                  </m:sSubPr>
                  <m:e>
                    <m:r>
                      <w:rPr>
                        <w:rFonts w:ascii="Cambria Math" w:hAnsi="Cambria Math"/>
                      </w:rPr>
                      <m:t>F</m:t>
                    </m:r>
                  </m:e>
                  <m:sub>
                    <m:r>
                      <w:rPr>
                        <w:rFonts w:ascii="Cambria Math" w:hAnsi="Cambria Math"/>
                      </w:rPr>
                      <m:t>b</m:t>
                    </m:r>
                  </m:sub>
                </m:sSub>
                <m:r>
                  <w:rPr>
                    <w:rFonts w:ascii="Cambria Math" w:hAnsi="Cambria Math"/>
                  </w:rPr>
                  <m:t>=</m:t>
                </m:r>
                <m:f>
                  <m:fPr>
                    <m:ctrlPr>
                      <w:rPr>
                        <w:rFonts w:ascii="Cambria Math" w:hAnsi="Cambria Math"/>
                        <w:i/>
                        <w:sz w:val="22"/>
                        <w:szCs w:val="22"/>
                      </w:rPr>
                    </m:ctrlPr>
                  </m:fPr>
                  <m:num>
                    <m:r>
                      <w:rPr>
                        <w:rFonts w:ascii="Cambria Math" w:hAnsi="Cambria Math"/>
                      </w:rPr>
                      <m:t>1</m:t>
                    </m:r>
                  </m:num>
                  <m:den>
                    <m:sSup>
                      <m:sSupPr>
                        <m:ctrlPr>
                          <w:rPr>
                            <w:rFonts w:ascii="Cambria Math" w:hAnsi="Cambria Math"/>
                            <w:i/>
                            <w:sz w:val="22"/>
                            <w:szCs w:val="22"/>
                          </w:rPr>
                        </m:ctrlPr>
                      </m:sSupPr>
                      <m:e>
                        <m:r>
                          <w:rPr>
                            <w:rFonts w:ascii="Cambria Math" w:hAnsi="Cambria Math"/>
                          </w:rPr>
                          <m:t>2(π</m:t>
                        </m:r>
                        <m:sSub>
                          <m:sSubPr>
                            <m:ctrlPr>
                              <w:rPr>
                                <w:rFonts w:ascii="Cambria Math" w:hAnsi="Cambria Math"/>
                                <w:i/>
                                <w:sz w:val="22"/>
                                <w:szCs w:val="22"/>
                              </w:rPr>
                            </m:ctrlPr>
                          </m:sSubPr>
                          <m:e>
                            <m:r>
                              <w:rPr>
                                <w:rFonts w:ascii="Cambria Math" w:hAnsi="Cambria Math"/>
                              </w:rPr>
                              <m:t>σ</m:t>
                            </m:r>
                          </m:e>
                          <m:sub>
                            <m:r>
                              <w:rPr>
                                <w:rFonts w:ascii="Cambria Math" w:hAnsi="Cambria Math"/>
                              </w:rPr>
                              <m:t>f</m:t>
                            </m:r>
                          </m:sub>
                        </m:sSub>
                        <m:r>
                          <w:rPr>
                            <w:rFonts w:ascii="Cambria Math" w:hAnsi="Cambria Math"/>
                          </w:rPr>
                          <m:t>)</m:t>
                        </m:r>
                      </m:e>
                      <m:sup>
                        <m:r>
                          <w:rPr>
                            <w:rFonts w:ascii="Cambria Math" w:hAnsi="Cambria Math"/>
                          </w:rPr>
                          <m:t>2</m:t>
                        </m:r>
                      </m:sup>
                    </m:sSup>
                  </m:den>
                </m:f>
              </m:oMath>
            </m:oMathPara>
          </w:p>
        </w:tc>
        <w:tc>
          <w:tcPr>
            <w:tcW w:w="535" w:type="dxa"/>
            <w:vAlign w:val="center"/>
            <w:hideMark/>
          </w:tcPr>
          <w:p w14:paraId="05D7BD2E" w14:textId="77777777" w:rsidR="00D97D62" w:rsidRPr="007273EA" w:rsidRDefault="00D97D62" w:rsidP="00F03951">
            <w:pPr>
              <w:jc w:val="center"/>
            </w:pPr>
            <w:r w:rsidRPr="007273EA">
              <w:t>3</w:t>
            </w:r>
          </w:p>
        </w:tc>
      </w:tr>
    </w:tbl>
    <w:p w14:paraId="3AAE749A" w14:textId="77777777" w:rsidR="00D97D62" w:rsidRPr="007273EA" w:rsidRDefault="00D97D62" w:rsidP="00F03951">
      <w:pPr>
        <w:spacing w:after="0"/>
        <w:ind w:firstLine="720"/>
      </w:pPr>
      <w:r w:rsidRPr="007273EA">
        <w:t xml:space="preserve">To compute the spectrogram in Figure 3B, we created a series of 30 wavelets (half width of 2.5 s) by varying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rsidRPr="007273EA">
        <w:t xml:space="preserve"> (0.125 to 2.5Hz) and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Pr="007273EA">
        <w:rPr>
          <w:rFonts w:eastAsiaTheme="minorEastAsia"/>
        </w:rPr>
        <w:t>(</w:t>
      </w:r>
      <w:r w:rsidRPr="007273EA">
        <w:t xml:space="preserve">1 to 30Hz) both on a logarithmic (10 based) scale. Each wavelet was then normalized to have unit norm. The raw data (sampled at 32 </w:t>
      </w:r>
      <w:proofErr w:type="spellStart"/>
      <w:r w:rsidRPr="007273EA">
        <w:t>K</w:t>
      </w:r>
      <w:bookmarkStart w:id="0" w:name="_GoBack"/>
      <w:bookmarkEnd w:id="0"/>
      <w:r w:rsidRPr="007273EA">
        <w:t>Hz</w:t>
      </w:r>
      <w:proofErr w:type="spellEnd"/>
      <w:r w:rsidRPr="007273EA">
        <w:t>) was first down-sampled to 320 Hz, and its wavelet transform was then computed in 30s-long contiguous data segments with a 2s buffer at either end of each segment. The resulting spectrogram was z-scored across the frequencies at each time point.</w:t>
      </w:r>
    </w:p>
    <w:p w14:paraId="51BBFBD4" w14:textId="77777777" w:rsidR="00D97D62" w:rsidRPr="007273EA" w:rsidRDefault="00D97D62" w:rsidP="00F03951">
      <w:pPr>
        <w:rPr>
          <w:sz w:val="24"/>
          <w:szCs w:val="24"/>
        </w:rPr>
      </w:pPr>
    </w:p>
    <w:p w14:paraId="33B8E396" w14:textId="77777777" w:rsidR="00D97D62" w:rsidRPr="007273EA" w:rsidRDefault="00D97D62" w:rsidP="00F03951">
      <w:pPr>
        <w:spacing w:after="0" w:line="264" w:lineRule="auto"/>
        <w:rPr>
          <w:b/>
          <w:bCs/>
        </w:rPr>
      </w:pPr>
      <w:r w:rsidRPr="007273EA">
        <w:rPr>
          <w:b/>
          <w:bCs/>
        </w:rPr>
        <w:t>Linear mixed model analysis (LMM)</w:t>
      </w:r>
    </w:p>
    <w:p w14:paraId="56FFB6BA" w14:textId="77777777" w:rsidR="00D97D62" w:rsidRPr="007273EA" w:rsidRDefault="00D97D62" w:rsidP="00F03951">
      <w:pPr>
        <w:spacing w:after="0" w:line="264" w:lineRule="auto"/>
        <w:ind w:firstLine="720"/>
      </w:pPr>
      <w:bookmarkStart w:id="1" w:name="_Hlk55321694"/>
      <w:r w:rsidRPr="007273EA">
        <w:t>We describe the LMM using an example with 120 fEPSP slope measurements during baseline and 180 in post-learning period. The subjects (mice) are treated as random effects; instantaneous speed of the animal and the time points at which the speed and fEPSP slopes were measured at the different segments (see below), are treated as fixed effects. The fEPSP slope (</w:t>
      </w:r>
      <m:oMath>
        <m:sSub>
          <m:sSubPr>
            <m:ctrlPr>
              <w:rPr>
                <w:rFonts w:ascii="Cambria Math" w:hAnsi="Cambria Math"/>
                <w:i/>
              </w:rPr>
            </m:ctrlPr>
          </m:sSubPr>
          <m:e>
            <m:r>
              <w:rPr>
                <w:rFonts w:ascii="Cambria Math" w:hAnsi="Cambria Math"/>
              </w:rPr>
              <m:t>S</m:t>
            </m:r>
          </m:e>
          <m:sub>
            <m:r>
              <w:rPr>
                <w:rFonts w:ascii="Cambria Math" w:hAnsi="Cambria Math"/>
              </w:rPr>
              <m:t>tj</m:t>
            </m:r>
          </m:sub>
        </m:sSub>
        <m:r>
          <w:rPr>
            <w:rFonts w:ascii="Cambria Math" w:hAnsi="Cambria Math"/>
          </w:rPr>
          <m:t>)</m:t>
        </m:r>
      </m:oMath>
      <w:r w:rsidRPr="007273EA">
        <w:t xml:space="preserve"> of an electrode from a mouse (</w:t>
      </w:r>
      <m:oMath>
        <m:r>
          <w:rPr>
            <w:rFonts w:ascii="Cambria Math" w:hAnsi="Cambria Math"/>
          </w:rPr>
          <m:t>j</m:t>
        </m:r>
      </m:oMath>
      <w:r w:rsidRPr="007273EA">
        <w:t>) at a given time point (</w:t>
      </w:r>
      <m:oMath>
        <m:r>
          <w:rPr>
            <w:rFonts w:ascii="Cambria Math" w:hAnsi="Cambria Math"/>
          </w:rPr>
          <m:t>t</m:t>
        </m:r>
      </m:oMath>
      <w:r w:rsidRPr="007273EA">
        <w:t>) is modeled as follows:</w:t>
      </w:r>
    </w:p>
    <w:p w14:paraId="2B11D11E" w14:textId="77777777" w:rsidR="00D97D62" w:rsidRPr="007273EA" w:rsidRDefault="00D97D62" w:rsidP="00F03951">
      <w:pPr>
        <w:spacing w:after="0" w:line="264"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370"/>
        <w:gridCol w:w="445"/>
      </w:tblGrid>
      <w:tr w:rsidR="00D97D62" w:rsidRPr="007273EA" w14:paraId="4469BF6D" w14:textId="77777777" w:rsidTr="00F03951">
        <w:tc>
          <w:tcPr>
            <w:tcW w:w="535" w:type="dxa"/>
          </w:tcPr>
          <w:p w14:paraId="659033AE" w14:textId="77777777" w:rsidR="00D97D62" w:rsidRPr="007273EA" w:rsidRDefault="00D97D62" w:rsidP="00F03951">
            <w:pPr>
              <w:spacing w:line="264" w:lineRule="auto"/>
            </w:pPr>
          </w:p>
        </w:tc>
        <w:tc>
          <w:tcPr>
            <w:tcW w:w="8370" w:type="dxa"/>
            <w:hideMark/>
          </w:tcPr>
          <w:p w14:paraId="681B747F" w14:textId="77777777" w:rsidR="00D97D62" w:rsidRPr="007273EA" w:rsidRDefault="00F94819" w:rsidP="00F03951">
            <w:pPr>
              <w:spacing w:line="264" w:lineRule="auto"/>
              <w:jc w:val="center"/>
            </w:pPr>
            <m:oMathPara>
              <m:oMath>
                <m:sSub>
                  <m:sSubPr>
                    <m:ctrlPr>
                      <w:rPr>
                        <w:rFonts w:ascii="Cambria Math" w:hAnsi="Cambria Math"/>
                        <w:i/>
                        <w:sz w:val="22"/>
                        <w:szCs w:val="22"/>
                      </w:rPr>
                    </m:ctrlPr>
                  </m:sSubPr>
                  <m:e>
                    <m:r>
                      <w:rPr>
                        <w:rFonts w:ascii="Cambria Math" w:hAnsi="Cambria Math"/>
                      </w:rPr>
                      <m:t>S</m:t>
                    </m:r>
                  </m:e>
                  <m:sub>
                    <m:r>
                      <w:rPr>
                        <w:rFonts w:ascii="Cambria Math" w:hAnsi="Cambria Math"/>
                      </w:rPr>
                      <m:t>tj</m:t>
                    </m:r>
                  </m:sub>
                </m:sSub>
                <m:r>
                  <w:rPr>
                    <w:rFonts w:ascii="Cambria Math" w:hAnsi="Cambria Math"/>
                  </w:rPr>
                  <m:t xml:space="preserve">= </m:t>
                </m:r>
                <m:sSub>
                  <m:sSubPr>
                    <m:ctrlPr>
                      <w:rPr>
                        <w:rFonts w:ascii="Cambria Math" w:hAnsi="Cambria Math"/>
                        <w:i/>
                        <w:sz w:val="22"/>
                        <w:szCs w:val="22"/>
                      </w:rPr>
                    </m:ctrlPr>
                  </m:sSubPr>
                  <m:e>
                    <m:r>
                      <w:rPr>
                        <w:rFonts w:ascii="Cambria Math" w:hAnsi="Cambria Math"/>
                      </w:rPr>
                      <m:t>β</m:t>
                    </m:r>
                  </m:e>
                  <m:sub>
                    <m:r>
                      <w:rPr>
                        <w:rFonts w:ascii="Cambria Math" w:hAnsi="Cambria Math"/>
                      </w:rPr>
                      <m:t>0j</m:t>
                    </m:r>
                  </m:sub>
                </m:sSub>
                <m:r>
                  <w:rPr>
                    <w:rFonts w:ascii="Cambria Math" w:hAnsi="Cambria Math"/>
                  </w:rPr>
                  <m:t xml:space="preserve">+ </m:t>
                </m:r>
                <m:sSub>
                  <m:sSubPr>
                    <m:ctrlPr>
                      <w:rPr>
                        <w:rFonts w:ascii="Cambria Math" w:hAnsi="Cambria Math"/>
                        <w:i/>
                        <w:sz w:val="22"/>
                        <w:szCs w:val="22"/>
                      </w:rPr>
                    </m:ctrlPr>
                  </m:sSubPr>
                  <m:e>
                    <m:r>
                      <w:rPr>
                        <w:rFonts w:ascii="Cambria Math" w:hAnsi="Cambria Math"/>
                      </w:rPr>
                      <m:t>β</m:t>
                    </m:r>
                  </m:e>
                  <m:sub>
                    <m:r>
                      <w:rPr>
                        <w:rFonts w:ascii="Cambria Math" w:hAnsi="Cambria Math"/>
                      </w:rPr>
                      <m:t>1</m:t>
                    </m:r>
                  </m:sub>
                </m:sSub>
                <m:sSub>
                  <m:sSubPr>
                    <m:ctrlPr>
                      <w:rPr>
                        <w:rFonts w:ascii="Cambria Math" w:hAnsi="Cambria Math"/>
                        <w:i/>
                        <w:sz w:val="22"/>
                        <w:szCs w:val="22"/>
                      </w:rPr>
                    </m:ctrlPr>
                  </m:sSubPr>
                  <m:e>
                    <m:r>
                      <w:rPr>
                        <w:rFonts w:ascii="Cambria Math" w:hAnsi="Cambria Math"/>
                      </w:rPr>
                      <m:t>X</m:t>
                    </m:r>
                  </m:e>
                  <m:sub>
                    <m:r>
                      <w:rPr>
                        <w:rFonts w:ascii="Cambria Math" w:hAnsi="Cambria Math"/>
                      </w:rPr>
                      <m:t>1tj</m:t>
                    </m:r>
                  </m:sub>
                </m:sSub>
                <m:r>
                  <w:rPr>
                    <w:rFonts w:ascii="Cambria Math" w:hAnsi="Cambria Math"/>
                  </w:rPr>
                  <m:t>+</m:t>
                </m:r>
                <m:sSub>
                  <m:sSubPr>
                    <m:ctrlPr>
                      <w:rPr>
                        <w:rFonts w:ascii="Cambria Math" w:hAnsi="Cambria Math"/>
                        <w:i/>
                        <w:sz w:val="22"/>
                        <w:szCs w:val="22"/>
                      </w:rPr>
                    </m:ctrlPr>
                  </m:sSubPr>
                  <m:e>
                    <m:r>
                      <w:rPr>
                        <w:rFonts w:ascii="Cambria Math" w:hAnsi="Cambria Math"/>
                      </w:rPr>
                      <m:t>β</m:t>
                    </m:r>
                  </m:e>
                  <m:sub>
                    <m:r>
                      <w:rPr>
                        <w:rFonts w:ascii="Cambria Math" w:hAnsi="Cambria Math"/>
                      </w:rPr>
                      <m:t>2</m:t>
                    </m:r>
                  </m:sub>
                </m:sSub>
                <m:sSub>
                  <m:sSubPr>
                    <m:ctrlPr>
                      <w:rPr>
                        <w:rFonts w:ascii="Cambria Math" w:hAnsi="Cambria Math"/>
                        <w:i/>
                        <w:sz w:val="22"/>
                        <w:szCs w:val="22"/>
                      </w:rPr>
                    </m:ctrlPr>
                  </m:sSubPr>
                  <m:e>
                    <m:r>
                      <w:rPr>
                        <w:rFonts w:ascii="Cambria Math" w:hAnsi="Cambria Math"/>
                      </w:rPr>
                      <m:t>X</m:t>
                    </m:r>
                  </m:e>
                  <m:sub>
                    <m:r>
                      <w:rPr>
                        <w:rFonts w:ascii="Cambria Math" w:hAnsi="Cambria Math"/>
                      </w:rPr>
                      <m:t>2tj</m:t>
                    </m:r>
                  </m:sub>
                </m:sSub>
                <m:r>
                  <w:rPr>
                    <w:rFonts w:ascii="Cambria Math" w:hAnsi="Cambria Math"/>
                  </w:rPr>
                  <m:t xml:space="preserve">+ </m:t>
                </m:r>
                <m:sSub>
                  <m:sSubPr>
                    <m:ctrlPr>
                      <w:rPr>
                        <w:rFonts w:ascii="Cambria Math" w:hAnsi="Cambria Math"/>
                        <w:i/>
                        <w:sz w:val="22"/>
                        <w:szCs w:val="22"/>
                      </w:rPr>
                    </m:ctrlPr>
                  </m:sSubPr>
                  <m:e>
                    <m:r>
                      <w:rPr>
                        <w:rFonts w:ascii="Cambria Math" w:hAnsi="Cambria Math"/>
                      </w:rPr>
                      <m:t>β</m:t>
                    </m:r>
                  </m:e>
                  <m:sub>
                    <m:r>
                      <w:rPr>
                        <w:rFonts w:ascii="Cambria Math" w:hAnsi="Cambria Math"/>
                      </w:rPr>
                      <m:t>3</m:t>
                    </m:r>
                  </m:sub>
                </m:sSub>
                <m:sSub>
                  <m:sSubPr>
                    <m:ctrlPr>
                      <w:rPr>
                        <w:rFonts w:ascii="Cambria Math" w:hAnsi="Cambria Math"/>
                        <w:i/>
                        <w:sz w:val="22"/>
                        <w:szCs w:val="22"/>
                      </w:rPr>
                    </m:ctrlPr>
                  </m:sSubPr>
                  <m:e>
                    <m:r>
                      <w:rPr>
                        <w:rFonts w:ascii="Cambria Math" w:hAnsi="Cambria Math"/>
                      </w:rPr>
                      <m:t>X</m:t>
                    </m:r>
                  </m:e>
                  <m:sub>
                    <m:r>
                      <w:rPr>
                        <w:rFonts w:ascii="Cambria Math" w:hAnsi="Cambria Math"/>
                      </w:rPr>
                      <m:t>3tj</m:t>
                    </m:r>
                  </m:sub>
                </m:sSub>
                <m:r>
                  <w:rPr>
                    <w:rFonts w:ascii="Cambria Math" w:hAnsi="Cambria Math"/>
                  </w:rPr>
                  <m:t xml:space="preserve">+ </m:t>
                </m:r>
                <m:sSub>
                  <m:sSubPr>
                    <m:ctrlPr>
                      <w:rPr>
                        <w:rFonts w:ascii="Cambria Math" w:hAnsi="Cambria Math"/>
                        <w:i/>
                        <w:sz w:val="22"/>
                        <w:szCs w:val="22"/>
                      </w:rPr>
                    </m:ctrlPr>
                  </m:sSubPr>
                  <m:e>
                    <m:r>
                      <w:rPr>
                        <w:rFonts w:ascii="Cambria Math" w:hAnsi="Cambria Math"/>
                      </w:rPr>
                      <m:t>β</m:t>
                    </m:r>
                  </m:e>
                  <m:sub>
                    <m:r>
                      <w:rPr>
                        <w:rFonts w:ascii="Cambria Math" w:hAnsi="Cambria Math"/>
                      </w:rPr>
                      <m:t>4</m:t>
                    </m:r>
                  </m:sub>
                </m:sSub>
                <m:sSub>
                  <m:sSubPr>
                    <m:ctrlPr>
                      <w:rPr>
                        <w:rFonts w:ascii="Cambria Math" w:hAnsi="Cambria Math"/>
                        <w:i/>
                        <w:sz w:val="22"/>
                        <w:szCs w:val="22"/>
                      </w:rPr>
                    </m:ctrlPr>
                  </m:sSubPr>
                  <m:e>
                    <m:r>
                      <w:rPr>
                        <w:rFonts w:ascii="Cambria Math" w:hAnsi="Cambria Math"/>
                      </w:rPr>
                      <m:t>X</m:t>
                    </m:r>
                  </m:e>
                  <m:sub>
                    <m:r>
                      <w:rPr>
                        <w:rFonts w:ascii="Cambria Math" w:hAnsi="Cambria Math"/>
                      </w:rPr>
                      <m:t>4tj</m:t>
                    </m:r>
                  </m:sub>
                </m:sSub>
                <m:r>
                  <w:rPr>
                    <w:rFonts w:ascii="Cambria Math" w:hAnsi="Cambria Math"/>
                  </w:rPr>
                  <m:t xml:space="preserve">+ </m:t>
                </m:r>
                <m:sSub>
                  <m:sSubPr>
                    <m:ctrlPr>
                      <w:rPr>
                        <w:rFonts w:ascii="Cambria Math" w:hAnsi="Cambria Math"/>
                        <w:i/>
                        <w:sz w:val="22"/>
                        <w:szCs w:val="22"/>
                      </w:rPr>
                    </m:ctrlPr>
                  </m:sSubPr>
                  <m:e>
                    <m:r>
                      <w:rPr>
                        <w:rFonts w:ascii="Cambria Math" w:hAnsi="Cambria Math"/>
                      </w:rPr>
                      <m:t>ϵ</m:t>
                    </m:r>
                  </m:e>
                  <m:sub>
                    <m:r>
                      <w:rPr>
                        <w:rFonts w:ascii="Cambria Math" w:hAnsi="Cambria Math"/>
                      </w:rPr>
                      <m:t>tj</m:t>
                    </m:r>
                  </m:sub>
                </m:sSub>
              </m:oMath>
            </m:oMathPara>
          </w:p>
        </w:tc>
        <w:tc>
          <w:tcPr>
            <w:tcW w:w="445" w:type="dxa"/>
            <w:hideMark/>
          </w:tcPr>
          <w:p w14:paraId="0051279F" w14:textId="77777777" w:rsidR="00D97D62" w:rsidRPr="007273EA" w:rsidRDefault="00D97D62" w:rsidP="00F03951">
            <w:pPr>
              <w:spacing w:line="264" w:lineRule="auto"/>
              <w:jc w:val="center"/>
            </w:pPr>
            <w:r w:rsidRPr="007273EA">
              <w:t>4</w:t>
            </w:r>
          </w:p>
        </w:tc>
      </w:tr>
    </w:tbl>
    <w:p w14:paraId="27E18913" w14:textId="77777777" w:rsidR="00D97D62" w:rsidRPr="007273EA" w:rsidRDefault="00D97D62" w:rsidP="00F03951"/>
    <w:p w14:paraId="125462EA" w14:textId="77777777" w:rsidR="00D97D62" w:rsidRPr="007273EA" w:rsidRDefault="00D97D62" w:rsidP="00F03951">
      <w:pPr>
        <w:spacing w:after="0" w:line="264" w:lineRule="auto"/>
        <w:jc w:val="left"/>
        <w:rPr>
          <w:rFonts w:eastAsiaTheme="minorEastAsia"/>
        </w:rPr>
      </w:pPr>
      <w:r w:rsidRPr="007273EA">
        <w:t xml:space="preserve">Where,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273EA">
        <w:rPr>
          <w:rFonts w:eastAsiaTheme="minorEastAsia"/>
        </w:rPr>
        <w:t xml:space="preserve"> denotes subject-specific intercept and </w:t>
      </w:r>
      <m:oMath>
        <m:sSub>
          <m:sSubPr>
            <m:ctrlPr>
              <w:rPr>
                <w:rFonts w:ascii="Cambria Math" w:hAnsi="Cambria Math"/>
                <w:i/>
              </w:rPr>
            </m:ctrlPr>
          </m:sSubPr>
          <m:e>
            <m:r>
              <w:rPr>
                <w:rFonts w:ascii="Cambria Math" w:hAnsi="Cambria Math"/>
              </w:rPr>
              <m:t>ϵ</m:t>
            </m:r>
          </m:e>
          <m:sub>
            <m:r>
              <w:rPr>
                <w:rFonts w:ascii="Cambria Math" w:hAnsi="Cambria Math"/>
              </w:rPr>
              <m:t>tj</m:t>
            </m:r>
          </m:sub>
        </m:sSub>
      </m:oMath>
      <w:r w:rsidRPr="007273EA">
        <w:rPr>
          <w:rFonts w:eastAsiaTheme="minorEastAsia"/>
        </w:rPr>
        <w:t xml:space="preserve"> denotes error associated with slope </w:t>
      </w:r>
      <m:oMath>
        <m:sSub>
          <m:sSubPr>
            <m:ctrlPr>
              <w:rPr>
                <w:rFonts w:ascii="Cambria Math" w:hAnsi="Cambria Math"/>
                <w:i/>
              </w:rPr>
            </m:ctrlPr>
          </m:sSubPr>
          <m:e>
            <m:r>
              <w:rPr>
                <w:rFonts w:ascii="Cambria Math" w:hAnsi="Cambria Math"/>
              </w:rPr>
              <m:t>S</m:t>
            </m:r>
          </m:e>
          <m:sub>
            <m:r>
              <w:rPr>
                <w:rFonts w:ascii="Cambria Math" w:hAnsi="Cambria Math"/>
              </w:rPr>
              <m:t>tj</m:t>
            </m:r>
          </m:sub>
        </m:sSub>
      </m:oMath>
      <w:r w:rsidRPr="007273EA">
        <w:rPr>
          <w:rFonts w:eastAsiaTheme="minorEastAsia"/>
        </w:rPr>
        <w:t>.</w:t>
      </w:r>
    </w:p>
    <w:p w14:paraId="4A6369A6" w14:textId="77777777" w:rsidR="00D97D62" w:rsidRPr="007273EA" w:rsidRDefault="00D97D62" w:rsidP="00F03951">
      <w:pPr>
        <w:spacing w:after="0" w:line="264" w:lineRule="auto"/>
        <w:jc w:val="left"/>
      </w:pPr>
      <w:r w:rsidRPr="007273EA">
        <w:t xml:space="preserve">Time (in minutes) since the beginning of the experiment is denoted by </w:t>
      </w:r>
      <m:oMath>
        <m:sSub>
          <m:sSubPr>
            <m:ctrlPr>
              <w:rPr>
                <w:rFonts w:ascii="Cambria Math" w:hAnsi="Cambria Math"/>
                <w:i/>
              </w:rPr>
            </m:ctrlPr>
          </m:sSubPr>
          <m:e>
            <m:r>
              <w:rPr>
                <w:rFonts w:ascii="Cambria Math" w:hAnsi="Cambria Math"/>
              </w:rPr>
              <m:t>X</m:t>
            </m:r>
          </m:e>
          <m:sub>
            <m:r>
              <w:rPr>
                <w:rFonts w:ascii="Cambria Math" w:hAnsi="Cambria Math"/>
              </w:rPr>
              <m:t>1tj</m:t>
            </m:r>
          </m:sub>
        </m:sSub>
      </m:oMath>
      <w:r w:rsidRPr="007273EA">
        <w:t xml:space="preserve"> where</w:t>
      </w:r>
    </w:p>
    <w:p w14:paraId="62D8D973" w14:textId="77777777" w:rsidR="00D97D62" w:rsidRPr="007273EA" w:rsidRDefault="00D97D62" w:rsidP="00F03951">
      <w:pPr>
        <w:spacing w:after="0" w:line="264" w:lineRule="auto"/>
        <w:jc w:val="left"/>
      </w:pPr>
    </w:p>
    <w:p w14:paraId="341AE9F1" w14:textId="77777777" w:rsidR="00D97D62" w:rsidRPr="007273EA" w:rsidRDefault="00F94819" w:rsidP="00F03951">
      <w:pPr>
        <w:spacing w:after="0" w:line="264" w:lineRule="auto"/>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2</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3</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300</m:t>
                  </m:r>
                </m:e>
                <m:sub>
                  <m:r>
                    <w:rPr>
                      <w:rFonts w:ascii="Cambria Math" w:hAnsi="Cambria Math"/>
                    </w:rPr>
                    <m:t>300</m:t>
                  </m:r>
                </m:sub>
              </m:sSub>
            </m:e>
          </m:d>
        </m:oMath>
      </m:oMathPara>
    </w:p>
    <w:p w14:paraId="078DA23D" w14:textId="77777777" w:rsidR="00D97D62" w:rsidRPr="007273EA" w:rsidRDefault="00D97D62" w:rsidP="00F03951">
      <w:pPr>
        <w:spacing w:after="0" w:line="264" w:lineRule="auto"/>
        <w:jc w:val="center"/>
        <w:rPr>
          <w:rFonts w:eastAsiaTheme="minorEastAsia"/>
        </w:rPr>
      </w:pPr>
    </w:p>
    <w:p w14:paraId="5F95AFE9" w14:textId="77777777" w:rsidR="00D97D62" w:rsidRPr="007273EA" w:rsidRDefault="00D97D62" w:rsidP="00F03951">
      <w:pPr>
        <w:spacing w:after="0" w:line="264" w:lineRule="auto"/>
        <w:rPr>
          <w:rFonts w:eastAsiaTheme="minorEastAsia"/>
        </w:rPr>
      </w:pPr>
      <w:r w:rsidRPr="007273EA">
        <w:rPr>
          <w:rFonts w:eastAsiaTheme="minorEastAsia"/>
        </w:rPr>
        <w:t xml:space="preserve">The subscripts on the right-hand side of the above equality denote time </w:t>
      </w:r>
      <m:oMath>
        <m:r>
          <w:rPr>
            <w:rFonts w:ascii="Cambria Math" w:eastAsiaTheme="minorEastAsia" w:hAnsi="Cambria Math"/>
          </w:rPr>
          <m:t>t</m:t>
        </m:r>
      </m:oMath>
      <w:r w:rsidRPr="007273EA">
        <w:rPr>
          <w:rFonts w:eastAsiaTheme="minorEastAsia"/>
        </w:rPr>
        <w:t xml:space="preserve">. At each time point, the pre- and post-learning conditions are coded as 0’s and 1’s respectively (dummy coding) by </w:t>
      </w:r>
      <m:oMath>
        <m:sSub>
          <m:sSubPr>
            <m:ctrlPr>
              <w:rPr>
                <w:rFonts w:ascii="Cambria Math" w:hAnsi="Cambria Math"/>
                <w:i/>
              </w:rPr>
            </m:ctrlPr>
          </m:sSubPr>
          <m:e>
            <m:r>
              <w:rPr>
                <w:rFonts w:ascii="Cambria Math" w:hAnsi="Cambria Math"/>
              </w:rPr>
              <m:t>X</m:t>
            </m:r>
          </m:e>
          <m:sub>
            <m:r>
              <w:rPr>
                <w:rFonts w:ascii="Cambria Math" w:hAnsi="Cambria Math"/>
              </w:rPr>
              <m:t>2tj</m:t>
            </m:r>
          </m:sub>
        </m:sSub>
      </m:oMath>
      <w:r w:rsidRPr="007273EA">
        <w:rPr>
          <w:rFonts w:eastAsiaTheme="minorEastAsia"/>
        </w:rPr>
        <w:t xml:space="preserve"> where</w:t>
      </w:r>
    </w:p>
    <w:p w14:paraId="0C8A6EDD" w14:textId="77777777" w:rsidR="00D97D62" w:rsidRPr="007273EA" w:rsidRDefault="00F94819" w:rsidP="00F03951">
      <w:pPr>
        <w:spacing w:after="0" w:line="264" w:lineRule="auto"/>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0</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0</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0</m:t>
                  </m:r>
                </m:e>
                <m:sub>
                  <m:r>
                    <w:rPr>
                      <w:rFonts w:ascii="Cambria Math" w:hAnsi="Cambria Math"/>
                    </w:rPr>
                    <m:t>120</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121</m:t>
                  </m:r>
                </m:sub>
              </m:sSub>
              <m:r>
                <w:rPr>
                  <w:rFonts w:ascii="Cambria Math" w:hAnsi="Cambria Math"/>
                </w:rPr>
                <m:t xml:space="preserve">, </m:t>
              </m:r>
              <m:sSub>
                <m:sSubPr>
                  <m:ctrlPr>
                    <w:rPr>
                      <w:rFonts w:ascii="Cambria Math" w:hAnsi="Cambria Math"/>
                      <w:i/>
                    </w:rPr>
                  </m:ctrlPr>
                </m:sSubPr>
                <m:e>
                  <m:r>
                    <w:rPr>
                      <w:rFonts w:ascii="Cambria Math" w:hAnsi="Cambria Math"/>
                    </w:rPr>
                    <m:t>1</m:t>
                  </m:r>
                </m:e>
                <m:sub>
                  <m:r>
                    <w:rPr>
                      <w:rFonts w:ascii="Cambria Math" w:hAnsi="Cambria Math"/>
                    </w:rPr>
                    <m:t>122</m:t>
                  </m:r>
                </m:sub>
              </m:sSub>
              <m:r>
                <w:rPr>
                  <w:rFonts w:ascii="Cambria Math" w:hAnsi="Cambria Math"/>
                </w:rPr>
                <m:t xml:space="preserve">, </m:t>
              </m:r>
              <m:sSub>
                <m:sSubPr>
                  <m:ctrlPr>
                    <w:rPr>
                      <w:rFonts w:ascii="Cambria Math" w:hAnsi="Cambria Math"/>
                      <w:i/>
                    </w:rPr>
                  </m:ctrlPr>
                </m:sSubPr>
                <m:e>
                  <m:r>
                    <w:rPr>
                      <w:rFonts w:ascii="Cambria Math" w:hAnsi="Cambria Math"/>
                    </w:rPr>
                    <m:t>1</m:t>
                  </m:r>
                </m:e>
                <m:sub>
                  <m:r>
                    <w:rPr>
                      <w:rFonts w:ascii="Cambria Math" w:hAnsi="Cambria Math"/>
                    </w:rPr>
                    <m:t>123</m:t>
                  </m:r>
                </m:sub>
              </m:sSub>
              <m:r>
                <w:rPr>
                  <w:rFonts w:ascii="Cambria Math" w:hAnsi="Cambria Math"/>
                </w:rPr>
                <m:t xml:space="preserve">, …, </m:t>
              </m:r>
              <m:sSub>
                <m:sSubPr>
                  <m:ctrlPr>
                    <w:rPr>
                      <w:rFonts w:ascii="Cambria Math" w:hAnsi="Cambria Math"/>
                      <w:i/>
                    </w:rPr>
                  </m:ctrlPr>
                </m:sSubPr>
                <m:e>
                  <m:r>
                    <w:rPr>
                      <w:rFonts w:ascii="Cambria Math" w:hAnsi="Cambria Math"/>
                    </w:rPr>
                    <m:t>1</m:t>
                  </m:r>
                </m:e>
                <m:sub>
                  <m:r>
                    <w:rPr>
                      <w:rFonts w:ascii="Cambria Math" w:hAnsi="Cambria Math"/>
                    </w:rPr>
                    <m:t>300</m:t>
                  </m:r>
                </m:sub>
              </m:sSub>
            </m:e>
          </m:d>
        </m:oMath>
      </m:oMathPara>
    </w:p>
    <w:p w14:paraId="35CBD95F" w14:textId="77777777" w:rsidR="00D97D62" w:rsidRPr="007273EA" w:rsidRDefault="00D97D62" w:rsidP="00F03951">
      <w:pPr>
        <w:spacing w:after="0" w:line="264" w:lineRule="auto"/>
        <w:rPr>
          <w:rFonts w:eastAsiaTheme="minorEastAsia"/>
        </w:rPr>
      </w:pPr>
    </w:p>
    <w:p w14:paraId="685ED71E" w14:textId="77777777" w:rsidR="00D97D62" w:rsidRPr="007273EA" w:rsidRDefault="00D97D62" w:rsidP="00F03951">
      <w:pPr>
        <w:spacing w:after="0" w:line="264" w:lineRule="auto"/>
        <w:rPr>
          <w:rFonts w:eastAsiaTheme="minorEastAsia"/>
        </w:rPr>
      </w:pPr>
      <w:r w:rsidRPr="007273EA">
        <w:rPr>
          <w:rFonts w:eastAsiaTheme="minorEastAsia"/>
        </w:rPr>
        <w:t xml:space="preserve">Time since “interruption” (fear conditioning) is denoted by </w:t>
      </w:r>
      <m:oMath>
        <m:sSub>
          <m:sSubPr>
            <m:ctrlPr>
              <w:rPr>
                <w:rFonts w:ascii="Cambria Math" w:hAnsi="Cambria Math"/>
                <w:i/>
              </w:rPr>
            </m:ctrlPr>
          </m:sSubPr>
          <m:e>
            <m:r>
              <w:rPr>
                <w:rFonts w:ascii="Cambria Math" w:hAnsi="Cambria Math"/>
              </w:rPr>
              <m:t>X</m:t>
            </m:r>
          </m:e>
          <m:sub>
            <m:r>
              <w:rPr>
                <w:rFonts w:ascii="Cambria Math" w:hAnsi="Cambria Math"/>
              </w:rPr>
              <m:t>3tj</m:t>
            </m:r>
          </m:sub>
        </m:sSub>
      </m:oMath>
      <w:r w:rsidRPr="007273EA">
        <w:rPr>
          <w:rFonts w:eastAsiaTheme="minorEastAsia"/>
        </w:rPr>
        <w:t xml:space="preserve"> where</w:t>
      </w:r>
    </w:p>
    <w:p w14:paraId="196F904A" w14:textId="77777777" w:rsidR="00D97D62" w:rsidRPr="007273EA" w:rsidRDefault="00D97D62" w:rsidP="00F03951">
      <w:pPr>
        <w:spacing w:after="0" w:line="264" w:lineRule="auto"/>
        <w:rPr>
          <w:rFonts w:eastAsiaTheme="minorEastAsia"/>
        </w:rPr>
      </w:pPr>
    </w:p>
    <w:p w14:paraId="67FF1A0F" w14:textId="77777777" w:rsidR="00D97D62" w:rsidRPr="007273EA" w:rsidRDefault="00F94819" w:rsidP="00F03951">
      <w:pPr>
        <w:spacing w:after="0" w:line="264" w:lineRule="auto"/>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3j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0</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0</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0</m:t>
                  </m:r>
                </m:e>
                <m:sub>
                  <m:r>
                    <w:rPr>
                      <w:rFonts w:ascii="Cambria Math" w:hAnsi="Cambria Math"/>
                    </w:rPr>
                    <m:t>120</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121</m:t>
                  </m:r>
                </m:sub>
              </m:sSub>
              <m:r>
                <w:rPr>
                  <w:rFonts w:ascii="Cambria Math" w:hAnsi="Cambria Math"/>
                </w:rPr>
                <m:t xml:space="preserve">, </m:t>
              </m:r>
              <m:sSub>
                <m:sSubPr>
                  <m:ctrlPr>
                    <w:rPr>
                      <w:rFonts w:ascii="Cambria Math" w:hAnsi="Cambria Math"/>
                      <w:i/>
                    </w:rPr>
                  </m:ctrlPr>
                </m:sSubPr>
                <m:e>
                  <m:r>
                    <w:rPr>
                      <w:rFonts w:ascii="Cambria Math" w:hAnsi="Cambria Math"/>
                    </w:rPr>
                    <m:t>2</m:t>
                  </m:r>
                </m:e>
                <m:sub>
                  <m:r>
                    <w:rPr>
                      <w:rFonts w:ascii="Cambria Math" w:hAnsi="Cambria Math"/>
                    </w:rPr>
                    <m:t>122</m:t>
                  </m:r>
                </m:sub>
              </m:sSub>
              <m:r>
                <w:rPr>
                  <w:rFonts w:ascii="Cambria Math" w:hAnsi="Cambria Math"/>
                </w:rPr>
                <m:t xml:space="preserve">, </m:t>
              </m:r>
              <m:sSub>
                <m:sSubPr>
                  <m:ctrlPr>
                    <w:rPr>
                      <w:rFonts w:ascii="Cambria Math" w:hAnsi="Cambria Math"/>
                      <w:i/>
                    </w:rPr>
                  </m:ctrlPr>
                </m:sSubPr>
                <m:e>
                  <m:r>
                    <w:rPr>
                      <w:rFonts w:ascii="Cambria Math" w:hAnsi="Cambria Math"/>
                    </w:rPr>
                    <m:t>3</m:t>
                  </m:r>
                </m:e>
                <m:sub>
                  <m:r>
                    <w:rPr>
                      <w:rFonts w:ascii="Cambria Math" w:hAnsi="Cambria Math"/>
                    </w:rPr>
                    <m:t>123</m:t>
                  </m:r>
                </m:sub>
              </m:sSub>
              <m:r>
                <w:rPr>
                  <w:rFonts w:ascii="Cambria Math" w:hAnsi="Cambria Math"/>
                </w:rPr>
                <m:t xml:space="preserve">, …, </m:t>
              </m:r>
              <m:sSub>
                <m:sSubPr>
                  <m:ctrlPr>
                    <w:rPr>
                      <w:rFonts w:ascii="Cambria Math" w:hAnsi="Cambria Math"/>
                      <w:i/>
                    </w:rPr>
                  </m:ctrlPr>
                </m:sSubPr>
                <m:e>
                  <m:r>
                    <w:rPr>
                      <w:rFonts w:ascii="Cambria Math" w:hAnsi="Cambria Math"/>
                    </w:rPr>
                    <m:t>180</m:t>
                  </m:r>
                </m:e>
                <m:sub>
                  <m:r>
                    <w:rPr>
                      <w:rFonts w:ascii="Cambria Math" w:hAnsi="Cambria Math"/>
                    </w:rPr>
                    <m:t>300</m:t>
                  </m:r>
                </m:sub>
              </m:sSub>
            </m:e>
          </m:d>
        </m:oMath>
      </m:oMathPara>
    </w:p>
    <w:p w14:paraId="40978D9C" w14:textId="77777777" w:rsidR="00D97D62" w:rsidRPr="007273EA" w:rsidRDefault="00D97D62" w:rsidP="00F03951">
      <w:pPr>
        <w:spacing w:after="0" w:line="264" w:lineRule="auto"/>
        <w:jc w:val="center"/>
        <w:rPr>
          <w:rFonts w:eastAsiaTheme="minorEastAsia"/>
        </w:rPr>
      </w:pPr>
    </w:p>
    <w:p w14:paraId="1120838C" w14:textId="77777777" w:rsidR="00D97D62" w:rsidRPr="007273EA" w:rsidRDefault="00D97D62" w:rsidP="00F03951">
      <w:pPr>
        <w:spacing w:after="0" w:line="264" w:lineRule="auto"/>
        <w:jc w:val="left"/>
      </w:pPr>
      <w:r w:rsidRPr="007273EA">
        <w:t xml:space="preserve">The animal’s instantaneous speed (transformed by 2-based log), from the beginning of the experiment is denoted by </w:t>
      </w:r>
      <m:oMath>
        <m:sSub>
          <m:sSubPr>
            <m:ctrlPr>
              <w:rPr>
                <w:rFonts w:ascii="Cambria Math" w:hAnsi="Cambria Math"/>
                <w:i/>
              </w:rPr>
            </m:ctrlPr>
          </m:sSubPr>
          <m:e>
            <m:r>
              <w:rPr>
                <w:rFonts w:ascii="Cambria Math" w:hAnsi="Cambria Math"/>
              </w:rPr>
              <m:t>X</m:t>
            </m:r>
          </m:e>
          <m:sub>
            <m:r>
              <w:rPr>
                <w:rFonts w:ascii="Cambria Math" w:hAnsi="Cambria Math"/>
              </w:rPr>
              <m:t>4tj</m:t>
            </m:r>
          </m:sub>
        </m:sSub>
      </m:oMath>
      <w:r w:rsidRPr="007273EA">
        <w:t xml:space="preserve"> where</w:t>
      </w:r>
    </w:p>
    <w:p w14:paraId="27635E96" w14:textId="77777777" w:rsidR="00D97D62" w:rsidRPr="007273EA" w:rsidRDefault="00D97D62" w:rsidP="00F03951">
      <w:pPr>
        <w:spacing w:after="0" w:line="264" w:lineRule="auto"/>
        <w:jc w:val="left"/>
      </w:pPr>
    </w:p>
    <w:p w14:paraId="2A307A55" w14:textId="77777777" w:rsidR="00D97D62" w:rsidRPr="007273EA" w:rsidRDefault="00F94819" w:rsidP="00F03951">
      <w:pPr>
        <w:spacing w:after="0" w:line="264" w:lineRule="auto"/>
        <w:jc w:val="cente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4j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300</m:t>
                </m:r>
              </m:sub>
            </m:sSub>
          </m:e>
        </m:d>
      </m:oMath>
      <w:r w:rsidR="00D97D62" w:rsidRPr="007273EA">
        <w:rPr>
          <w:rFonts w:eastAsiaTheme="minorEastAsia"/>
        </w:rPr>
        <w:t xml:space="preserve"> and</w:t>
      </w:r>
    </w:p>
    <w:p w14:paraId="20D1E08E" w14:textId="77777777" w:rsidR="00D97D62" w:rsidRPr="007273EA" w:rsidRDefault="00D97D62" w:rsidP="00F03951">
      <w:pPr>
        <w:spacing w:after="0" w:line="264" w:lineRule="auto"/>
        <w:jc w:val="center"/>
        <w:rPr>
          <w:rFonts w:eastAsiaTheme="minorEastAsia"/>
        </w:rPr>
      </w:pPr>
    </w:p>
    <w:p w14:paraId="2EA05A9D" w14:textId="77777777" w:rsidR="00D97D62" w:rsidRPr="007273EA" w:rsidRDefault="00F94819" w:rsidP="00F03951">
      <w:pPr>
        <w:spacing w:after="0" w:line="264" w:lineRule="aut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instantaneous speed in cm/s</m:t>
                  </m:r>
                </m:e>
              </m:d>
              <m:r>
                <w:rPr>
                  <w:rFonts w:ascii="Cambria Math" w:eastAsiaTheme="minorEastAsia" w:hAnsi="Cambria Math"/>
                </w:rPr>
                <m:t xml:space="preserve"> at time t.</m:t>
              </m:r>
              <m:ctrlPr>
                <w:rPr>
                  <w:rFonts w:ascii="Cambria Math" w:eastAsiaTheme="minorEastAsia" w:hAnsi="Cambria Math"/>
                  <w:i/>
                </w:rPr>
              </m:ctrlPr>
            </m:e>
          </m:func>
        </m:oMath>
      </m:oMathPara>
    </w:p>
    <w:p w14:paraId="58C10742" w14:textId="77777777" w:rsidR="00D97D62" w:rsidRPr="007273EA" w:rsidRDefault="00D97D62" w:rsidP="00F03951">
      <w:pPr>
        <w:spacing w:after="0" w:line="264" w:lineRule="auto"/>
        <w:rPr>
          <w:rFonts w:eastAsiaTheme="minorEastAsia"/>
        </w:rPr>
      </w:pPr>
    </w:p>
    <w:p w14:paraId="00406119" w14:textId="77777777" w:rsidR="00D97D62" w:rsidRPr="007273EA" w:rsidRDefault="00F94819" w:rsidP="00F03951">
      <w:pPr>
        <w:spacing w:after="0" w:line="264" w:lineRule="auto"/>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D97D62" w:rsidRPr="007273EA">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oMath>
      <w:r w:rsidR="00D97D62" w:rsidRPr="007273EA">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4</m:t>
            </m:r>
          </m:sub>
        </m:sSub>
      </m:oMath>
      <w:r w:rsidR="00D97D62" w:rsidRPr="007273EA">
        <w:rPr>
          <w:rFonts w:eastAsiaTheme="minorEastAsia"/>
        </w:rPr>
        <w:t xml:space="preserve"> </w:t>
      </w:r>
      <w:r w:rsidR="00D97D62" w:rsidRPr="007273EA">
        <w:t xml:space="preserve">can be interpreted by applying the values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D97D62" w:rsidRPr="007273EA">
        <w: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sidR="00D97D62" w:rsidRPr="007273EA">
        <w:rPr>
          <w:rFonts w:eastAsiaTheme="minorEastAsia"/>
        </w:rPr>
        <w: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oMath>
      <w:r w:rsidR="00D97D62" w:rsidRPr="007273EA">
        <w:rPr>
          <w:rFonts w:eastAsiaTheme="minorEastAsia"/>
        </w:rPr>
        <w:t xml:space="preserve"> </w:t>
      </w:r>
      <w:r w:rsidR="00D97D62" w:rsidRPr="007273EA">
        <w:t>and</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oMath>
      <w:r w:rsidR="00D97D62" w:rsidRPr="007273EA">
        <w:t xml:space="preserve"> in Eq.4.</w:t>
      </w:r>
    </w:p>
    <w:p w14:paraId="40D9A1B2" w14:textId="77777777" w:rsidR="00D97D62" w:rsidRPr="007273EA" w:rsidRDefault="00D97D62" w:rsidP="00F03951">
      <w:pPr>
        <w:spacing w:after="0" w:line="264" w:lineRule="auto"/>
      </w:pPr>
      <w:r w:rsidRPr="007273EA">
        <w:t>For the baseline period (</w:t>
      </w:r>
      <m:oMath>
        <m:r>
          <w:rPr>
            <w:rFonts w:ascii="Cambria Math" w:hAnsi="Cambria Math"/>
          </w:rPr>
          <m:t>t≤120</m:t>
        </m:r>
      </m:oMath>
      <w:r w:rsidRPr="007273EA">
        <w:t>), we obtain</w:t>
      </w:r>
    </w:p>
    <w:p w14:paraId="781D0A8B" w14:textId="77777777" w:rsidR="00D97D62" w:rsidRPr="007273EA" w:rsidRDefault="00F94819" w:rsidP="00F03951">
      <w:pPr>
        <w:spacing w:after="0" w:line="264" w:lineRule="auto"/>
        <w:jc w:val="cente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4tj</m:t>
              </m:r>
            </m:sub>
          </m:sSub>
        </m:oMath>
      </m:oMathPara>
    </w:p>
    <w:p w14:paraId="0D2A7FC5" w14:textId="77777777" w:rsidR="00D97D62" w:rsidRPr="007273EA" w:rsidRDefault="00D97D62" w:rsidP="00F03951">
      <w:pPr>
        <w:spacing w:after="0" w:line="264" w:lineRule="auto"/>
        <w:jc w:val="center"/>
      </w:pPr>
    </w:p>
    <w:p w14:paraId="3274530D" w14:textId="77777777" w:rsidR="00D97D62" w:rsidRPr="007273EA" w:rsidRDefault="00D97D62" w:rsidP="00F03951">
      <w:pPr>
        <w:spacing w:after="0" w:line="264" w:lineRule="auto"/>
        <w:ind w:firstLine="720"/>
      </w:pPr>
      <w:r w:rsidRPr="007273EA">
        <w:t xml:space="preserve">For both baseline and post-learning period (see below), a significant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Pr="007273EA">
        <w:t xml:space="preserve"> parameter would indicate that the speed of the mouse contributes significantly to the measured fEPSP slope. Hence a non-significant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oMath>
      <w:r w:rsidRPr="007273EA">
        <w:t>parameter would indicate that there is no significant drift in the baseline after accounting for any speed effect. Similarly, for the post-learning period (</w:t>
      </w:r>
      <m:oMath>
        <m:r>
          <w:rPr>
            <w:rFonts w:ascii="Cambria Math" w:hAnsi="Cambria Math"/>
          </w:rPr>
          <m:t>t&gt;120</m:t>
        </m:r>
      </m:oMath>
      <w:r w:rsidRPr="007273EA">
        <w:t>)</w:t>
      </w:r>
    </w:p>
    <w:p w14:paraId="33A2F330" w14:textId="77777777" w:rsidR="00D97D62" w:rsidRPr="007273EA" w:rsidRDefault="00D97D62" w:rsidP="00F03951">
      <w:pPr>
        <w:spacing w:after="0" w:line="264" w:lineRule="auto"/>
        <w:ind w:firstLine="720"/>
      </w:pPr>
    </w:p>
    <w:p w14:paraId="0D584DA2" w14:textId="77777777" w:rsidR="00D97D62" w:rsidRPr="007273EA" w:rsidRDefault="00F94819" w:rsidP="00F03951">
      <w:pPr>
        <w:spacing w:after="0" w:line="264" w:lineRule="auto"/>
        <w:jc w:val="cente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0j</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1tj</m:t>
              </m:r>
            </m:sub>
          </m:sSub>
          <m:r>
            <w:rPr>
              <w:rFonts w:ascii="Cambria Math" w:hAnsi="Cambria Math"/>
            </w:rPr>
            <m:t xml:space="preserve"> </m:t>
          </m:r>
          <m:sSub>
            <m:sSubPr>
              <m:ctrlPr>
                <w:rPr>
                  <w:rFonts w:ascii="Cambria Math" w:hAnsi="Cambria Math"/>
                  <w:i/>
                </w:rPr>
              </m:ctrlPr>
            </m:sSubPr>
            <m:e>
              <m:r>
                <w:rPr>
                  <w:rFonts w:ascii="Cambria Math" w:hAnsi="Cambria Math"/>
                </w:rPr>
                <m:t>+ β</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4tj</m:t>
              </m:r>
            </m:sub>
          </m:sSub>
        </m:oMath>
      </m:oMathPara>
    </w:p>
    <w:p w14:paraId="0FA7077C" w14:textId="77777777" w:rsidR="00D97D62" w:rsidRPr="007273EA" w:rsidRDefault="00D97D62" w:rsidP="00F03951">
      <w:pPr>
        <w:spacing w:after="0" w:line="264" w:lineRule="auto"/>
        <w:jc w:val="center"/>
      </w:pPr>
    </w:p>
    <w:p w14:paraId="15D6EC67" w14:textId="77777777" w:rsidR="00D97D62" w:rsidRPr="007273EA" w:rsidRDefault="00D97D62" w:rsidP="00F03951">
      <w:pPr>
        <w:spacing w:after="0" w:line="264" w:lineRule="auto"/>
        <w:ind w:firstLine="720"/>
      </w:pPr>
      <w:r w:rsidRPr="007273EA">
        <w:t xml:space="preserve">Hence, a significant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7273EA">
        <w:t xml:space="preserve">parameter would indicate that there is significant shift in the level of post-conditioning data points relative to baseline after accounting for any speed effect. A non-significant </w:t>
      </w:r>
      <m:oMath>
        <m:sSub>
          <m:sSubPr>
            <m:ctrlPr>
              <w:rPr>
                <w:rFonts w:ascii="Cambria Math" w:hAnsi="Cambria Math"/>
                <w:i/>
              </w:rPr>
            </m:ctrlPr>
          </m:sSubPr>
          <m:e>
            <m:r>
              <w:rPr>
                <w:rFonts w:ascii="Cambria Math" w:hAnsi="Cambria Math"/>
              </w:rPr>
              <m:t xml:space="preserve"> β</m:t>
            </m:r>
          </m:e>
          <m:sub>
            <m:r>
              <w:rPr>
                <w:rFonts w:ascii="Cambria Math" w:hAnsi="Cambria Math"/>
              </w:rPr>
              <m:t>3</m:t>
            </m:r>
          </m:sub>
        </m:sSub>
      </m:oMath>
      <w:r w:rsidRPr="007273EA">
        <w:rPr>
          <w:rFonts w:eastAsiaTheme="minorEastAsia"/>
        </w:rPr>
        <w:t xml:space="preserve"> </w:t>
      </w:r>
      <w:r w:rsidRPr="007273EA">
        <w:t xml:space="preserve">would suggest that the post-learning trend is not significantly different from that of baseline after accounting for any speed effect. That is, the interruption did not significantly alter the ongoing trend (if any) in the baseline. </w:t>
      </w:r>
      <w:bookmarkStart w:id="2" w:name="_Hlk39423720"/>
      <w:r w:rsidRPr="007273EA">
        <w:t xml:space="preserve">Note that for Figure 2F, the speed term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4</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sidRPr="007273EA">
        <w:rPr>
          <w:rFonts w:eastAsiaTheme="minorEastAsia"/>
        </w:rPr>
        <w:t xml:space="preserve"> </w:t>
      </w:r>
      <w:r w:rsidRPr="007273EA">
        <w:t>was not included in the model.</w:t>
      </w:r>
    </w:p>
    <w:p w14:paraId="7137E26A" w14:textId="77777777" w:rsidR="00D97D62" w:rsidRPr="007273EA" w:rsidRDefault="00D97D62" w:rsidP="00F03951">
      <w:pPr>
        <w:spacing w:after="0" w:line="264" w:lineRule="auto"/>
        <w:ind w:firstLine="720"/>
        <w:rPr>
          <w:rFonts w:eastAsiaTheme="minorEastAsia"/>
        </w:rPr>
      </w:pPr>
      <w:r w:rsidRPr="007273EA">
        <w:t xml:space="preserve">For directly comparing the learning effect in the fear-conditioned group against that of the sham-conditioned group, the model complexity was reduced by first removing components containing gain parameters - </w:t>
      </w:r>
      <m:oMath>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rsidRPr="007273E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sidRPr="007273EA">
        <w:rPr>
          <w:rFonts w:eastAsiaTheme="minorEastAsia"/>
        </w:rPr>
        <w:t xml:space="preserve"> (see Eq. 4) and adding a component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5</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r>
          <w:rPr>
            <w:rFonts w:ascii="Cambria Math" w:eastAsiaTheme="minorEastAsia" w:hAnsi="Cambria Math"/>
          </w:rPr>
          <m:t xml:space="preserve"> </m:t>
        </m:r>
      </m:oMath>
      <w:r w:rsidRPr="007273EA">
        <w:rPr>
          <w:rFonts w:eastAsiaTheme="minorEastAsia"/>
        </w:rPr>
        <w:t xml:space="preserve">where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Pr="007273EA">
        <w:rPr>
          <w:rFonts w:eastAsiaTheme="minorEastAsia"/>
        </w:rPr>
        <w:t xml:space="preserve"> codes data points from shocked and control (sham) groups as 1’s and 0’s respectively. In addition, a term for interaction between pre-post and shocked-sham conditions -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5tj</m:t>
            </m:r>
          </m:sub>
        </m:sSub>
        <m:r>
          <w:rPr>
            <w:rFonts w:ascii="Cambria Math" w:eastAsiaTheme="minorEastAsia" w:hAnsi="Cambria Math"/>
          </w:rPr>
          <m:t>)</m:t>
        </m:r>
      </m:oMath>
      <w:r w:rsidRPr="007273EA">
        <w:rPr>
          <w:rFonts w:eastAsiaTheme="minorEastAsia"/>
        </w:rPr>
        <w:t xml:space="preserve"> - was included.</w:t>
      </w:r>
      <w:bookmarkEnd w:id="2"/>
    </w:p>
    <w:p w14:paraId="07F5E2CA" w14:textId="77777777" w:rsidR="00D97D62" w:rsidRPr="007273EA" w:rsidRDefault="00D97D62" w:rsidP="00F03951">
      <w:pPr>
        <w:spacing w:after="0" w:line="264" w:lineRule="auto"/>
        <w:ind w:firstLine="720"/>
      </w:pPr>
    </w:p>
    <w:p w14:paraId="7F0A109B" w14:textId="77777777" w:rsidR="00D97D62" w:rsidRPr="007273EA" w:rsidRDefault="00F94819" w:rsidP="00F03951">
      <w:pPr>
        <w:spacing w:after="0" w:line="264" w:lineRule="auto"/>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4tj</m:t>
              </m:r>
            </m:sub>
          </m:sSub>
          <m:r>
            <w:rPr>
              <w:rFonts w:ascii="Cambria Math" w:hAnsi="Cambria Math"/>
            </w:rPr>
            <m:t>+</m:t>
          </m:r>
          <m:sSub>
            <m:sSubPr>
              <m:ctrlPr>
                <w:rPr>
                  <w:rFonts w:ascii="Cambria Math" w:hAnsi="Cambria Math"/>
                  <w:i/>
                </w:rPr>
              </m:ctrlPr>
            </m:sSubPr>
            <m:e>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5tj</m:t>
                  </m:r>
                </m:sub>
              </m:sSub>
              <m:r>
                <w:rPr>
                  <w:rFonts w:ascii="Cambria Math" w:hAnsi="Cambria Math"/>
                </w:rPr>
                <m:t>+β</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2tj</m:t>
              </m:r>
            </m:sub>
          </m:sSub>
          <m:sSub>
            <m:sSubPr>
              <m:ctrlPr>
                <w:rPr>
                  <w:rFonts w:ascii="Cambria Math" w:hAnsi="Cambria Math"/>
                  <w:i/>
                </w:rPr>
              </m:ctrlPr>
            </m:sSubPr>
            <m:e>
              <m:r>
                <w:rPr>
                  <w:rFonts w:ascii="Cambria Math" w:hAnsi="Cambria Math"/>
                </w:rPr>
                <m:t>X</m:t>
              </m:r>
            </m:e>
            <m:sub>
              <m:r>
                <w:rPr>
                  <w:rFonts w:ascii="Cambria Math" w:hAnsi="Cambria Math"/>
                </w:rPr>
                <m:t>4tj</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tj</m:t>
              </m:r>
            </m:sub>
          </m:sSub>
        </m:oMath>
      </m:oMathPara>
    </w:p>
    <w:p w14:paraId="402C1779" w14:textId="77777777" w:rsidR="00D97D62" w:rsidRPr="007273EA" w:rsidRDefault="00D97D62" w:rsidP="00F03951">
      <w:pPr>
        <w:spacing w:after="0" w:line="264" w:lineRule="auto"/>
        <w:rPr>
          <w:rFonts w:eastAsiaTheme="minorEastAsia"/>
        </w:rPr>
      </w:pPr>
    </w:p>
    <w:p w14:paraId="768D5EE3" w14:textId="77777777" w:rsidR="00D97D62" w:rsidRPr="007273EA" w:rsidRDefault="00D97D62" w:rsidP="00F03951">
      <w:pPr>
        <w:spacing w:after="0" w:line="264" w:lineRule="auto"/>
        <w:rPr>
          <w:rFonts w:eastAsiaTheme="minorEastAsia"/>
        </w:rPr>
      </w:pPr>
      <w:r w:rsidRPr="007273EA">
        <w:rPr>
          <w:rFonts w:eastAsiaTheme="minorEastAsia"/>
        </w:rPr>
        <w:t xml:space="preserve">A significant </w:t>
      </w:r>
      <m:oMath>
        <m:sSub>
          <m:sSubPr>
            <m:ctrlPr>
              <w:rPr>
                <w:rFonts w:ascii="Cambria Math" w:hAnsi="Cambria Math"/>
                <w:i/>
              </w:rPr>
            </m:ctrlPr>
          </m:sSubPr>
          <m:e>
            <m:r>
              <w:rPr>
                <w:rFonts w:ascii="Cambria Math" w:hAnsi="Cambria Math"/>
              </w:rPr>
              <m:t>β</m:t>
            </m:r>
          </m:e>
          <m:sub>
            <m:r>
              <w:rPr>
                <w:rFonts w:ascii="Cambria Math" w:hAnsi="Cambria Math"/>
              </w:rPr>
              <m:t>6</m:t>
            </m:r>
          </m:sub>
        </m:sSub>
      </m:oMath>
      <w:r w:rsidRPr="007273EA">
        <w:rPr>
          <w:rFonts w:eastAsiaTheme="minorEastAsia"/>
        </w:rPr>
        <w:t xml:space="preserve"> parameter would indicate that the change in the fEPSP slopes in the post-conditioning period relative to baseline, depends on the shocked-sham condition, after accounting for any speed effect.</w:t>
      </w:r>
    </w:p>
    <w:bookmarkEnd w:id="1"/>
    <w:p w14:paraId="287E13D1" w14:textId="77777777" w:rsidR="00D97D62" w:rsidRPr="007273EA" w:rsidRDefault="00D97D62" w:rsidP="00F03951"/>
    <w:p w14:paraId="07CAFB64" w14:textId="77777777" w:rsidR="00D97D62" w:rsidRPr="007273EA" w:rsidRDefault="00D97D62" w:rsidP="00CB2859">
      <w:pPr>
        <w:suppressLineNumbers/>
      </w:pPr>
    </w:p>
    <w:p w14:paraId="111AE33A" w14:textId="77777777" w:rsidR="00D97D62" w:rsidRPr="007273EA" w:rsidRDefault="00D97D62" w:rsidP="00CB2859">
      <w:pPr>
        <w:suppressLineNumbers/>
      </w:pPr>
    </w:p>
    <w:p w14:paraId="4F8BEEE0" w14:textId="0D97EFF7" w:rsidR="00D97D62" w:rsidRDefault="00D97D62" w:rsidP="00CB2859">
      <w:pPr>
        <w:suppressLineNumbers/>
      </w:pPr>
    </w:p>
    <w:p w14:paraId="18DD90BA" w14:textId="1DAF78D1" w:rsidR="00A70C24" w:rsidRDefault="00A70C24" w:rsidP="00CB2859">
      <w:pPr>
        <w:suppressLineNumbers/>
      </w:pPr>
    </w:p>
    <w:p w14:paraId="657A46FC" w14:textId="77777777" w:rsidR="00A70C24" w:rsidRPr="007273EA" w:rsidRDefault="00A70C24" w:rsidP="00A70C24">
      <w:pPr>
        <w:rPr>
          <w:rFonts w:eastAsia="Arial" w:cs="Times New Roman"/>
          <w:b/>
          <w:bCs/>
          <w:sz w:val="24"/>
          <w:szCs w:val="24"/>
        </w:rPr>
      </w:pPr>
      <w:r w:rsidRPr="007273EA">
        <w:rPr>
          <w:rFonts w:eastAsia="Arial" w:cs="Times New Roman"/>
          <w:b/>
          <w:bCs/>
          <w:sz w:val="24"/>
          <w:szCs w:val="24"/>
        </w:rPr>
        <w:lastRenderedPageBreak/>
        <w:t>Figure legends for Supplemental Figures</w:t>
      </w:r>
    </w:p>
    <w:p w14:paraId="1F021B46" w14:textId="77777777" w:rsidR="00A70C24" w:rsidRPr="007273EA" w:rsidRDefault="00A70C24" w:rsidP="00A70C24">
      <w:r w:rsidRPr="007273EA">
        <w:rPr>
          <w:b/>
        </w:rPr>
        <w:t>Figure S1</w:t>
      </w:r>
      <w:r w:rsidRPr="007273EA">
        <w:t xml:space="preserve">. In vivo synaptic strength modifications associated with fear conditioning measured by averaging electrodes within each mouse. </w:t>
      </w:r>
      <w:r w:rsidRPr="007273EA">
        <w:rPr>
          <w:b/>
          <w:bCs/>
          <w:i/>
          <w:iCs/>
        </w:rPr>
        <w:t>A,</w:t>
      </w:r>
      <w:r w:rsidRPr="007273EA">
        <w:t xml:space="preserve"> Heat ma</w:t>
      </w:r>
      <w:r w:rsidRPr="007273EA">
        <w:softHyphen/>
        <w:t xml:space="preserve">p of 5-min binned slopes of fEPSP responses that were first normalized to baseline and then averaged across electrodes within each mouse. Each row shows data from a mouse (n = 24). The conditioning period is marked by the yellow lightning bolt symbol near time zero. Mice #1 &amp; 2 had only 45 min of baseline data. Mice # reflects ascending chronological order of recording dates. </w:t>
      </w:r>
      <w:r w:rsidRPr="007273EA">
        <w:rPr>
          <w:b/>
          <w:bCs/>
          <w:i/>
          <w:iCs/>
        </w:rPr>
        <w:t xml:space="preserve">B, </w:t>
      </w:r>
      <w:r w:rsidRPr="007273EA">
        <w:t xml:space="preserve">Across-mouse average of 5-min binned normalized slopes. </w:t>
      </w:r>
      <w:r w:rsidRPr="007273EA">
        <w:rPr>
          <w:b/>
          <w:bCs/>
          <w:i/>
          <w:iCs/>
        </w:rPr>
        <w:t xml:space="preserve">C, </w:t>
      </w:r>
      <w:r w:rsidRPr="007273EA">
        <w:t xml:space="preserve">As in </w:t>
      </w:r>
      <w:r w:rsidRPr="007273EA">
        <w:rPr>
          <w:b/>
          <w:bCs/>
          <w:i/>
          <w:iCs/>
        </w:rPr>
        <w:t>B</w:t>
      </w:r>
      <w:r w:rsidRPr="007273EA">
        <w:t xml:space="preserve"> except that fEPSP slopes corresponding to sleep segments were removed before averaging. Error bars are SEM. * p &lt; 0.05, significant increase in fEPSP slopes in post-conditioning period relative to baseline. </w:t>
      </w:r>
    </w:p>
    <w:p w14:paraId="2EDD0B39" w14:textId="77777777" w:rsidR="00A70C24" w:rsidRPr="007273EA" w:rsidRDefault="00A70C24" w:rsidP="00A70C24">
      <w:pPr>
        <w:jc w:val="left"/>
        <w:rPr>
          <w:rFonts w:eastAsia="Arial" w:cs="Times New Roman"/>
        </w:rPr>
      </w:pPr>
      <w:r w:rsidRPr="007273EA">
        <w:rPr>
          <w:rFonts w:eastAsia="Arial" w:cs="Times New Roman"/>
          <w:b/>
        </w:rPr>
        <w:t>Figure S2</w:t>
      </w:r>
      <w:r w:rsidRPr="007273EA">
        <w:rPr>
          <w:rFonts w:eastAsia="Arial" w:cs="Times New Roman"/>
        </w:rPr>
        <w:t xml:space="preserve">. Sleep state identification procedure. </w:t>
      </w:r>
      <w:r w:rsidRPr="007273EA">
        <w:rPr>
          <w:rFonts w:eastAsia="Arial" w:cs="Times New Roman"/>
          <w:b/>
          <w:bCs/>
          <w:i/>
          <w:iCs/>
        </w:rPr>
        <w:t xml:space="preserve">A, </w:t>
      </w:r>
      <w:r w:rsidRPr="007273EA">
        <w:rPr>
          <w:rFonts w:eastAsia="Arial" w:cs="Times New Roman"/>
        </w:rPr>
        <w:t xml:space="preserve">Motion index (MI, smoothed with a Gaussian kernel) of the first 75 min of post-conditioning period of an example mouse. The colored regions show different sleep segments (see below). </w:t>
      </w:r>
      <w:r w:rsidRPr="007273EA">
        <w:rPr>
          <w:rFonts w:eastAsia="Arial" w:cs="Times New Roman"/>
          <w:b/>
          <w:bCs/>
          <w:i/>
          <w:iCs/>
        </w:rPr>
        <w:t xml:space="preserve">B, </w:t>
      </w:r>
      <w:r w:rsidRPr="007273EA">
        <w:rPr>
          <w:rFonts w:eastAsia="Arial" w:cs="Times New Roman"/>
        </w:rPr>
        <w:t xml:space="preserve">MI data in </w:t>
      </w:r>
      <w:proofErr w:type="spellStart"/>
      <w:r w:rsidRPr="007273EA">
        <w:rPr>
          <w:rFonts w:eastAsia="Arial" w:cs="Times New Roman"/>
          <w:b/>
          <w:bCs/>
          <w:i/>
          <w:iCs/>
        </w:rPr>
        <w:t>A</w:t>
      </w:r>
      <w:proofErr w:type="spellEnd"/>
      <w:r w:rsidRPr="007273EA">
        <w:rPr>
          <w:rFonts w:eastAsia="Arial" w:cs="Times New Roman"/>
          <w:b/>
          <w:bCs/>
          <w:i/>
          <w:iCs/>
        </w:rPr>
        <w:t xml:space="preserve"> </w:t>
      </w:r>
      <w:r w:rsidRPr="007273EA">
        <w:rPr>
          <w:rFonts w:eastAsia="Arial" w:cs="Times New Roman"/>
        </w:rPr>
        <w:t xml:space="preserve">enlarged to show sleep detection threshold (dotted gray line). The threshold is 0.01 times the standard deviation (SD) of the MI. Time segments with MI values below the threshold were putative sleep segments. Note the brief awakenings marked by small animal movements in the time period between minute 40 and 70. Outside of the colored sleep region, the movement is mostly off this movement scale. </w:t>
      </w:r>
      <w:r w:rsidRPr="007273EA">
        <w:rPr>
          <w:rFonts w:eastAsia="Arial" w:cs="Times New Roman"/>
          <w:b/>
          <w:bCs/>
          <w:i/>
          <w:iCs/>
        </w:rPr>
        <w:t xml:space="preserve">C, </w:t>
      </w:r>
      <w:r w:rsidRPr="007273EA">
        <w:rPr>
          <w:rFonts w:eastAsia="Arial" w:cs="Times New Roman"/>
        </w:rPr>
        <w:t xml:space="preserve">Theta/delta power ratio (TDR). Note the marked decrease in the TDR values and their variance during the putative sleep period. </w:t>
      </w:r>
      <w:r w:rsidRPr="007273EA">
        <w:rPr>
          <w:rFonts w:eastAsia="Arial" w:cs="Times New Roman"/>
          <w:b/>
          <w:bCs/>
          <w:i/>
          <w:iCs/>
        </w:rPr>
        <w:t>D,</w:t>
      </w:r>
      <w:r w:rsidRPr="007273EA">
        <w:rPr>
          <w:rFonts w:eastAsia="Arial" w:cs="Times New Roman"/>
        </w:rPr>
        <w:t xml:space="preserve"> Variance of TDR computed in a moving window (60s width) and then smoothed with a Gaussian kernel. REM sleep threshold (red line) is 0.5 SD of TDR and NREM sleep threshold (blue line) is 1 SD of TDR. </w:t>
      </w:r>
      <w:r w:rsidRPr="007273EA">
        <w:rPr>
          <w:rFonts w:eastAsia="Arial" w:cs="Times New Roman"/>
          <w:b/>
          <w:bCs/>
          <w:i/>
          <w:iCs/>
        </w:rPr>
        <w:t xml:space="preserve">E, </w:t>
      </w:r>
      <w:r w:rsidRPr="007273EA">
        <w:rPr>
          <w:rFonts w:eastAsia="Arial" w:cs="Times New Roman"/>
        </w:rPr>
        <w:t>Hypnogram. Putative sleep segments (from B) with moving TDR variance below the NREM threshold were identified as NREM sleep segments (blue shaded boxes). Putative sleep segments with moving TDR variance above the REM threshold were treated as REM sleep segments (red shaded box). The green shaded box indicates part of the period of transition from awake to NREM state. The periods corresponding to the transition, NREM, REM and the brief awakenings that occur in between the segments of NREM and REM, were grouped into a single sleep episode (thick black line over the x-axis).</w:t>
      </w:r>
    </w:p>
    <w:p w14:paraId="7104456C" w14:textId="77777777" w:rsidR="00A70C24" w:rsidRPr="007273EA" w:rsidRDefault="00A70C24" w:rsidP="00A70C24">
      <w:pPr>
        <w:rPr>
          <w:rFonts w:eastAsia="Arial" w:cs="Times New Roman"/>
          <w:bCs/>
        </w:rPr>
      </w:pPr>
      <w:r w:rsidRPr="007273EA">
        <w:rPr>
          <w:rFonts w:eastAsia="Arial" w:cs="Times New Roman"/>
          <w:b/>
        </w:rPr>
        <w:t xml:space="preserve">Figure S3. </w:t>
      </w:r>
      <w:r w:rsidRPr="007273EA">
        <w:rPr>
          <w:rFonts w:eastAsia="Arial" w:cs="Times New Roman"/>
          <w:bCs/>
        </w:rPr>
        <w:t>Normalized fEPSP slopes (</w:t>
      </w:r>
      <w:proofErr w:type="spellStart"/>
      <w:r w:rsidRPr="007273EA">
        <w:rPr>
          <w:rFonts w:eastAsia="Arial" w:cs="Times New Roman"/>
          <w:bCs/>
        </w:rPr>
        <w:t>fES</w:t>
      </w:r>
      <w:proofErr w:type="spellEnd"/>
      <w:r w:rsidRPr="007273EA">
        <w:rPr>
          <w:rFonts w:eastAsia="Arial" w:cs="Times New Roman"/>
          <w:bCs/>
        </w:rPr>
        <w:t>) of the most potentiated electrode set of the fear conditioned mice, aligned with sleep episodes (SE, black). Motion index (MI, square root transformed) and theta/delta band power ratio (TDR) were normalized to their respective baseline for each mouse. When multiple electrodes were present in a given mouse, normalized TDR values were averaged across electrodes. NREM (dark gray) segments were identified by sustained decrease (cold blue) in MI and TDR. REM (green) segments were identified by sustained decrease in MI and increase (warm red) in TDR. Multiple NREM and REM segments (RN) separated by less than 1.5 min were grouped into a single sleep episode (black). MI and TDR were computed in 5s contiguous time windows and smoothed with a Gaussian kernel (30s standard deviation). fEPSP slopes (1 pulse/min) were not binned but smoothed with a Gaussian kernel (45s standard deviation). Dotted horizontal lines mark boundary of data set of each mouse.</w:t>
      </w:r>
    </w:p>
    <w:p w14:paraId="5396D758" w14:textId="77777777" w:rsidR="00A70C24" w:rsidRDefault="00A70C24" w:rsidP="00A70C24">
      <w:pPr>
        <w:rPr>
          <w:rFonts w:eastAsia="Arial" w:cs="Times New Roman"/>
          <w:b/>
        </w:rPr>
      </w:pPr>
    </w:p>
    <w:p w14:paraId="72410ECB" w14:textId="77777777" w:rsidR="00A70C24" w:rsidRDefault="00A70C24" w:rsidP="00A70C24">
      <w:pPr>
        <w:rPr>
          <w:rFonts w:eastAsia="Arial" w:cs="Times New Roman"/>
          <w:b/>
        </w:rPr>
      </w:pPr>
    </w:p>
    <w:p w14:paraId="1E766CB5" w14:textId="77777777" w:rsidR="00A70C24" w:rsidRDefault="00A70C24" w:rsidP="00A70C24">
      <w:pPr>
        <w:rPr>
          <w:rFonts w:eastAsia="Arial" w:cs="Times New Roman"/>
          <w:b/>
        </w:rPr>
      </w:pPr>
    </w:p>
    <w:p w14:paraId="004EE813" w14:textId="77777777" w:rsidR="00A70C24" w:rsidRDefault="00A70C24" w:rsidP="00A70C24">
      <w:pPr>
        <w:rPr>
          <w:rFonts w:eastAsia="Arial" w:cs="Times New Roman"/>
          <w:b/>
        </w:rPr>
      </w:pPr>
    </w:p>
    <w:p w14:paraId="4BE83785" w14:textId="0E5F7D19" w:rsidR="00A70C24" w:rsidRPr="007273EA" w:rsidRDefault="00A70C24" w:rsidP="00A70C24">
      <w:pPr>
        <w:rPr>
          <w:rFonts w:eastAsia="Arial" w:cs="Times New Roman"/>
          <w:bCs/>
        </w:rPr>
      </w:pPr>
      <w:r w:rsidRPr="007273EA">
        <w:rPr>
          <w:rFonts w:eastAsia="Arial" w:cs="Times New Roman"/>
          <w:b/>
        </w:rPr>
        <w:lastRenderedPageBreak/>
        <w:t xml:space="preserve">Figure S4. </w:t>
      </w:r>
      <w:r w:rsidRPr="007273EA">
        <w:rPr>
          <w:rFonts w:eastAsia="Arial" w:cs="Times New Roman"/>
          <w:bCs/>
        </w:rPr>
        <w:t>Correlation between behavioral measure of memory (percent freezing) and physiological measure of plasticity (normalized fEPSP slopes averaged over the post-conditioning period). Each data point represents a mouse (n = 24). Linear model fit (black line) is shown along with the 95% confidence bounds (dotted traces).</w:t>
      </w:r>
    </w:p>
    <w:p w14:paraId="26A6C9C0" w14:textId="77777777" w:rsidR="00A70C24" w:rsidRPr="007273EA" w:rsidRDefault="00A70C24" w:rsidP="00A70C24">
      <w:pPr>
        <w:rPr>
          <w:rFonts w:eastAsia="Arial" w:cs="Times New Roman"/>
          <w:bCs/>
        </w:rPr>
      </w:pPr>
    </w:p>
    <w:p w14:paraId="67969BD2" w14:textId="77777777" w:rsidR="00A70C24" w:rsidRPr="007273EA" w:rsidRDefault="00A70C24" w:rsidP="00A70C24">
      <w:pPr>
        <w:rPr>
          <w:rFonts w:eastAsia="Arial" w:cs="Times New Roman"/>
          <w:bCs/>
        </w:rPr>
      </w:pPr>
      <w:r w:rsidRPr="007273EA">
        <w:rPr>
          <w:rFonts w:eastAsia="Arial" w:cs="Times New Roman"/>
          <w:b/>
        </w:rPr>
        <w:t xml:space="preserve">Figure S5. </w:t>
      </w:r>
      <w:r w:rsidRPr="007273EA">
        <w:rPr>
          <w:rFonts w:eastAsia="Arial" w:cs="Times New Roman"/>
          <w:bCs/>
        </w:rPr>
        <w:t>Normalized fEPSP slopes (</w:t>
      </w:r>
      <w:proofErr w:type="spellStart"/>
      <w:r w:rsidRPr="007273EA">
        <w:rPr>
          <w:rFonts w:eastAsia="Arial" w:cs="Times New Roman"/>
          <w:bCs/>
        </w:rPr>
        <w:t>fES</w:t>
      </w:r>
      <w:proofErr w:type="spellEnd"/>
      <w:r w:rsidRPr="007273EA">
        <w:rPr>
          <w:rFonts w:eastAsia="Arial" w:cs="Times New Roman"/>
          <w:bCs/>
        </w:rPr>
        <w:t>) of the most potentiated electrode set of the sham conditioned mice, aligned with sleep episodes (SE, black). Motion index (MI, square root transformed) and theta/delta band power ratio (TDR) were normalized to their respective baseline period values for each mouse. When multiple electrodes were present in a given mouse, normalized TDR values were averaged across electrodes. NREM (dark gray) segments were identified by sustained decrease (cold blue) in MI and TDR. REM (green) segments were identified by sustained decrease in MI and increase (warm red) in TDR. Multiple NREM and REM segments (RN) separated by less than 1.5 min were grouped into a single sleep episode (black). MI and TDR were computed in 5s contiguous time windows and smoothed with a Gaussian kernel (30s standard deviation). fEPSP slopes (1 pulse/min) were not binned but smoothed with a Gaussian kernel (45s standard deviation). Dotted horizontal lines mark the boundary of the data set of each mouse.</w:t>
      </w:r>
    </w:p>
    <w:p w14:paraId="17E4B5A9" w14:textId="77777777" w:rsidR="00A70C24" w:rsidRPr="007273EA" w:rsidRDefault="00A70C24" w:rsidP="00A70C24">
      <w:r w:rsidRPr="007273EA">
        <w:rPr>
          <w:rFonts w:eastAsia="Arial" w:cs="Times New Roman"/>
          <w:b/>
        </w:rPr>
        <w:t>Figure S6</w:t>
      </w:r>
      <w:r w:rsidRPr="007273EA">
        <w:rPr>
          <w:rFonts w:eastAsia="Arial" w:cs="Times New Roman"/>
          <w:bCs/>
        </w:rPr>
        <w:t xml:space="preserve">. </w:t>
      </w:r>
      <w:r w:rsidRPr="007273EA">
        <w:t xml:space="preserve">Statistical method for testing electrode stability. </w:t>
      </w:r>
      <w:r w:rsidRPr="007273EA">
        <w:rPr>
          <w:rFonts w:eastAsia="Arial" w:cs="Times New Roman"/>
          <w:b/>
          <w:bCs/>
          <w:i/>
          <w:iCs/>
        </w:rPr>
        <w:t xml:space="preserve">A, </w:t>
      </w:r>
      <w:r w:rsidRPr="007273EA">
        <w:rPr>
          <w:rFonts w:eastAsia="Arial" w:cs="Times New Roman"/>
        </w:rPr>
        <w:t xml:space="preserve">Baseline fEPSP slopes (normalized to mean) recorded from a likely unstable electrode. </w:t>
      </w:r>
      <w:r w:rsidRPr="007273EA">
        <w:rPr>
          <w:rFonts w:eastAsia="Arial" w:cs="Times New Roman"/>
          <w:b/>
          <w:bCs/>
          <w:i/>
          <w:iCs/>
        </w:rPr>
        <w:t xml:space="preserve">B, </w:t>
      </w:r>
      <w:r w:rsidRPr="007273EA">
        <w:rPr>
          <w:rFonts w:eastAsia="Arial" w:cs="Times New Roman"/>
        </w:rPr>
        <w:t xml:space="preserve">Hypothetical ideal stable baseline where each data point is set to 100. Note that only a subset of data points is shown although for analysis the number of data points was matched to that in </w:t>
      </w:r>
      <w:r w:rsidRPr="007273EA">
        <w:rPr>
          <w:rFonts w:eastAsia="Arial" w:cs="Times New Roman"/>
          <w:b/>
          <w:bCs/>
          <w:i/>
          <w:iCs/>
        </w:rPr>
        <w:t xml:space="preserve">A. C, </w:t>
      </w:r>
      <w:r w:rsidRPr="007273EA">
        <w:rPr>
          <w:rFonts w:eastAsia="Arial" w:cs="Times New Roman"/>
        </w:rPr>
        <w:t xml:space="preserve">Cumulative sum of the fEPSP slopes from panel </w:t>
      </w:r>
      <w:r w:rsidRPr="007273EA">
        <w:rPr>
          <w:rFonts w:eastAsia="Arial" w:cs="Times New Roman"/>
          <w:b/>
          <w:bCs/>
          <w:i/>
          <w:iCs/>
        </w:rPr>
        <w:t xml:space="preserve">A </w:t>
      </w:r>
      <w:r w:rsidRPr="007273EA">
        <w:rPr>
          <w:rFonts w:eastAsia="Arial" w:cs="Times New Roman"/>
        </w:rPr>
        <w:t xml:space="preserve">(black) and panel </w:t>
      </w:r>
      <w:r w:rsidRPr="007273EA">
        <w:rPr>
          <w:rFonts w:eastAsia="Arial" w:cs="Times New Roman"/>
          <w:b/>
          <w:bCs/>
          <w:i/>
          <w:iCs/>
        </w:rPr>
        <w:t xml:space="preserve">B </w:t>
      </w:r>
      <w:r w:rsidRPr="007273EA">
        <w:rPr>
          <w:rFonts w:eastAsia="Arial" w:cs="Times New Roman"/>
        </w:rPr>
        <w:t xml:space="preserve">(gray). For clarity, only every other data point is shown. The largest vertical separation between the two cumulative sums is indicated by the opposing vertical arrows. The magnitude of this separation is defined as the maximal absolute distance, </w:t>
      </w:r>
      <w:r w:rsidRPr="007273EA">
        <w:rPr>
          <w:rFonts w:eastAsia="Arial" w:cs="Times New Roman"/>
          <w:i/>
          <w:iCs/>
        </w:rPr>
        <w:t>D</w:t>
      </w:r>
      <w:r w:rsidRPr="007273EA">
        <w:rPr>
          <w:rFonts w:eastAsia="Arial" w:cs="Times New Roman"/>
        </w:rPr>
        <w:t xml:space="preserve">, as shown enlarged in the inset. To test if separation as big as </w:t>
      </w:r>
      <w:r w:rsidRPr="007273EA">
        <w:rPr>
          <w:rFonts w:eastAsia="Arial" w:cs="Times New Roman"/>
          <w:i/>
          <w:iCs/>
        </w:rPr>
        <w:t>D</w:t>
      </w:r>
      <w:r w:rsidRPr="007273EA">
        <w:rPr>
          <w:rFonts w:eastAsia="Arial" w:cs="Times New Roman"/>
        </w:rPr>
        <w:t xml:space="preserve"> could have come from a stable electrode, a null distribution representing a stable electrode was created by resampling the original fEPSP slopes (bootstrapping). </w:t>
      </w:r>
      <w:r w:rsidRPr="007273EA">
        <w:rPr>
          <w:rFonts w:eastAsia="Arial" w:cs="Times New Roman"/>
          <w:b/>
          <w:bCs/>
          <w:i/>
          <w:iCs/>
        </w:rPr>
        <w:t xml:space="preserve">D, </w:t>
      </w:r>
      <w:proofErr w:type="gramStart"/>
      <w:r w:rsidRPr="007273EA">
        <w:rPr>
          <w:rFonts w:eastAsia="Arial" w:cs="Times New Roman"/>
        </w:rPr>
        <w:t>One</w:t>
      </w:r>
      <w:proofErr w:type="gramEnd"/>
      <w:r w:rsidRPr="007273EA">
        <w:rPr>
          <w:rFonts w:eastAsia="Arial" w:cs="Times New Roman"/>
        </w:rPr>
        <w:t xml:space="preserve"> instance of resampling (with replacement) of data points of panel </w:t>
      </w:r>
      <w:r w:rsidRPr="007273EA">
        <w:rPr>
          <w:rFonts w:eastAsia="Arial" w:cs="Times New Roman"/>
          <w:b/>
          <w:bCs/>
          <w:i/>
          <w:iCs/>
        </w:rPr>
        <w:t>A</w:t>
      </w:r>
      <w:r w:rsidRPr="007273EA">
        <w:rPr>
          <w:rFonts w:eastAsia="Arial" w:cs="Times New Roman"/>
        </w:rPr>
        <w:t xml:space="preserve">. Note that any trend in the data is now lost due to the resampling. </w:t>
      </w:r>
      <w:r w:rsidRPr="007273EA">
        <w:rPr>
          <w:rFonts w:eastAsia="Arial" w:cs="Times New Roman"/>
          <w:b/>
          <w:bCs/>
          <w:i/>
          <w:iCs/>
        </w:rPr>
        <w:t>E,</w:t>
      </w:r>
      <w:r w:rsidRPr="007273EA">
        <w:rPr>
          <w:rFonts w:eastAsia="Arial" w:cs="Times New Roman"/>
        </w:rPr>
        <w:t xml:space="preserve"> Cumulative sums of one instance of resampled fEPSP slopes (black) and of idealized stable fEPSP slopes (gray). The largest vertical separation between the two cumulative sums (</w:t>
      </w:r>
      <w:r w:rsidRPr="007273EA">
        <w:rPr>
          <w:rFonts w:eastAsia="Arial" w:cs="Times New Roman"/>
          <w:i/>
          <w:iCs/>
        </w:rPr>
        <w:t>D</w:t>
      </w:r>
      <w:r w:rsidRPr="007273EA">
        <w:rPr>
          <w:rFonts w:eastAsia="Arial" w:cs="Times New Roman"/>
        </w:rPr>
        <w:t xml:space="preserve">*) represents how large </w:t>
      </w:r>
      <w:r w:rsidRPr="007273EA">
        <w:rPr>
          <w:rFonts w:eastAsia="Arial" w:cs="Times New Roman"/>
          <w:i/>
          <w:iCs/>
        </w:rPr>
        <w:t>D</w:t>
      </w:r>
      <w:r w:rsidRPr="007273EA">
        <w:rPr>
          <w:rFonts w:eastAsia="Arial" w:cs="Times New Roman"/>
        </w:rPr>
        <w:t xml:space="preserve">* can go simply due to noise in the data even though the electrode is stable. </w:t>
      </w:r>
      <w:r w:rsidRPr="007273EA">
        <w:rPr>
          <w:rFonts w:eastAsia="Arial" w:cs="Times New Roman"/>
          <w:b/>
          <w:bCs/>
          <w:i/>
          <w:iCs/>
        </w:rPr>
        <w:t>F</w:t>
      </w:r>
      <w:r w:rsidRPr="007273EA">
        <w:rPr>
          <w:rFonts w:eastAsia="Arial" w:cs="Times New Roman"/>
        </w:rPr>
        <w:t xml:space="preserve">, Null distribution histogram of </w:t>
      </w:r>
      <w:r w:rsidRPr="007273EA">
        <w:rPr>
          <w:rFonts w:eastAsia="Arial" w:cs="Times New Roman"/>
          <w:i/>
          <w:iCs/>
        </w:rPr>
        <w:t>D</w:t>
      </w:r>
      <w:r w:rsidRPr="007273EA">
        <w:rPr>
          <w:rFonts w:eastAsia="Arial" w:cs="Times New Roman"/>
        </w:rPr>
        <w:t xml:space="preserve">* values obtained by 1000 iterations of resampling the original fEPSP slopes (as in </w:t>
      </w:r>
      <w:r w:rsidRPr="007273EA">
        <w:rPr>
          <w:rFonts w:eastAsia="Arial" w:cs="Times New Roman"/>
          <w:b/>
          <w:bCs/>
          <w:i/>
          <w:iCs/>
        </w:rPr>
        <w:t>D</w:t>
      </w:r>
      <w:r w:rsidRPr="007273EA">
        <w:rPr>
          <w:rFonts w:eastAsia="Arial" w:cs="Times New Roman"/>
        </w:rPr>
        <w:t xml:space="preserve">) and then computing </w:t>
      </w:r>
      <w:r w:rsidRPr="007273EA">
        <w:rPr>
          <w:rFonts w:eastAsia="Arial" w:cs="Times New Roman"/>
          <w:i/>
          <w:iCs/>
        </w:rPr>
        <w:t>D</w:t>
      </w:r>
      <w:r w:rsidRPr="007273EA">
        <w:rPr>
          <w:rFonts w:eastAsia="Arial" w:cs="Times New Roman"/>
        </w:rPr>
        <w:t xml:space="preserve">* (as in </w:t>
      </w:r>
      <w:r w:rsidRPr="007273EA">
        <w:rPr>
          <w:rFonts w:eastAsia="Arial" w:cs="Times New Roman"/>
          <w:b/>
          <w:bCs/>
          <w:i/>
          <w:iCs/>
        </w:rPr>
        <w:t>E</w:t>
      </w:r>
      <w:r w:rsidRPr="007273EA">
        <w:rPr>
          <w:rFonts w:eastAsia="Arial" w:cs="Times New Roman"/>
        </w:rPr>
        <w:t xml:space="preserve">). Under this null distribution of a stable electrode, a </w:t>
      </w:r>
      <w:r w:rsidRPr="007273EA">
        <w:rPr>
          <w:rFonts w:eastAsia="Arial" w:cs="Times New Roman"/>
          <w:i/>
          <w:iCs/>
        </w:rPr>
        <w:t>D</w:t>
      </w:r>
      <w:r w:rsidRPr="007273EA">
        <w:rPr>
          <w:rFonts w:eastAsia="Arial" w:cs="Times New Roman"/>
        </w:rPr>
        <w:t xml:space="preserve"> value as large as 384 (computed in </w:t>
      </w:r>
      <w:r w:rsidRPr="007273EA">
        <w:rPr>
          <w:rFonts w:eastAsia="Arial" w:cs="Times New Roman"/>
          <w:b/>
          <w:bCs/>
          <w:i/>
          <w:iCs/>
        </w:rPr>
        <w:t>C</w:t>
      </w:r>
      <w:r w:rsidRPr="007273EA">
        <w:rPr>
          <w:rFonts w:eastAsia="Arial" w:cs="Times New Roman"/>
        </w:rPr>
        <w:t xml:space="preserve">) is unlikely (p = 0.017). With a threshold of p = 0.05 for deciding stability, the electrode in </w:t>
      </w:r>
      <w:r w:rsidRPr="007273EA">
        <w:rPr>
          <w:rFonts w:eastAsia="Arial" w:cs="Times New Roman"/>
          <w:b/>
          <w:bCs/>
          <w:i/>
          <w:iCs/>
        </w:rPr>
        <w:t>A</w:t>
      </w:r>
      <w:r w:rsidRPr="007273EA">
        <w:rPr>
          <w:rFonts w:eastAsia="Arial" w:cs="Times New Roman"/>
        </w:rPr>
        <w:t xml:space="preserve"> is deemed unstable.</w:t>
      </w:r>
    </w:p>
    <w:p w14:paraId="0396A4C0" w14:textId="780B1160" w:rsidR="00A70C24" w:rsidRPr="007273EA" w:rsidRDefault="00A70C24" w:rsidP="00A70C24">
      <w:pPr>
        <w:suppressLineNumbers/>
        <w:ind w:left="-450"/>
        <w:jc w:val="left"/>
        <w:rPr>
          <w:b/>
          <w:bCs/>
          <w:sz w:val="28"/>
          <w:szCs w:val="28"/>
        </w:rPr>
      </w:pPr>
    </w:p>
    <w:sectPr w:rsidR="00A70C24" w:rsidRPr="007273EA" w:rsidSect="00A70C2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04870" w14:textId="77777777" w:rsidR="00F94819" w:rsidRDefault="00F94819">
      <w:pPr>
        <w:spacing w:after="0" w:line="240" w:lineRule="auto"/>
      </w:pPr>
      <w:r>
        <w:separator/>
      </w:r>
    </w:p>
  </w:endnote>
  <w:endnote w:type="continuationSeparator" w:id="0">
    <w:p w14:paraId="545DC7BF" w14:textId="77777777" w:rsidR="00F94819" w:rsidRDefault="00F94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thelas">
    <w:altName w:val="Calibri"/>
    <w:charset w:val="4D"/>
    <w:family w:val="auto"/>
    <w:pitch w:val="variable"/>
    <w:sig w:usb0="A00000AF" w:usb1="5000205B" w:usb2="00000000" w:usb3="00000000" w:csb0="0000009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6836953"/>
      <w:docPartObj>
        <w:docPartGallery w:val="Page Numbers (Bottom of Page)"/>
        <w:docPartUnique/>
      </w:docPartObj>
    </w:sdtPr>
    <w:sdtEndPr>
      <w:rPr>
        <w:noProof/>
      </w:rPr>
    </w:sdtEndPr>
    <w:sdtContent>
      <w:p w14:paraId="1279AAD2" w14:textId="77777777" w:rsidR="00E839BC" w:rsidRDefault="00E839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AEDB0" w14:textId="77777777" w:rsidR="00E839BC" w:rsidRDefault="00E83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C8AFD0" w14:textId="77777777" w:rsidR="00F94819" w:rsidRDefault="00F94819">
      <w:pPr>
        <w:spacing w:after="0" w:line="240" w:lineRule="auto"/>
      </w:pPr>
      <w:r>
        <w:separator/>
      </w:r>
    </w:p>
  </w:footnote>
  <w:footnote w:type="continuationSeparator" w:id="0">
    <w:p w14:paraId="77A87B19" w14:textId="77777777" w:rsidR="00F94819" w:rsidRDefault="00F94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34402"/>
    <w:multiLevelType w:val="hybridMultilevel"/>
    <w:tmpl w:val="DDCC9F90"/>
    <w:lvl w:ilvl="0" w:tplc="2C727A2E">
      <w:start w:val="1"/>
      <w:numFmt w:val="decimal"/>
      <w:lvlText w:val="%1."/>
      <w:lvlJc w:val="left"/>
      <w:pPr>
        <w:ind w:left="720" w:hanging="360"/>
      </w:pPr>
      <w:rPr>
        <w:b w:val="0"/>
        <w:sz w:val="22"/>
      </w:rPr>
    </w:lvl>
    <w:lvl w:ilvl="1" w:tplc="B7C0DE36">
      <w:start w:val="1"/>
      <w:numFmt w:val="lowerLetter"/>
      <w:lvlText w:val="%2."/>
      <w:lvlJc w:val="left"/>
      <w:pPr>
        <w:ind w:left="1440" w:hanging="360"/>
      </w:pPr>
    </w:lvl>
    <w:lvl w:ilvl="2" w:tplc="737E30FE">
      <w:start w:val="1"/>
      <w:numFmt w:val="lowerRoman"/>
      <w:lvlText w:val="%3."/>
      <w:lvlJc w:val="right"/>
      <w:pPr>
        <w:ind w:left="2160" w:hanging="180"/>
      </w:pPr>
    </w:lvl>
    <w:lvl w:ilvl="3" w:tplc="021A2028">
      <w:start w:val="1"/>
      <w:numFmt w:val="decimal"/>
      <w:lvlText w:val="%4."/>
      <w:lvlJc w:val="left"/>
      <w:pPr>
        <w:ind w:left="2880" w:hanging="360"/>
      </w:pPr>
    </w:lvl>
    <w:lvl w:ilvl="4" w:tplc="F9FA8328">
      <w:start w:val="1"/>
      <w:numFmt w:val="lowerLetter"/>
      <w:lvlText w:val="%5."/>
      <w:lvlJc w:val="left"/>
      <w:pPr>
        <w:ind w:left="3600" w:hanging="360"/>
      </w:pPr>
    </w:lvl>
    <w:lvl w:ilvl="5" w:tplc="F8B8615A">
      <w:start w:val="1"/>
      <w:numFmt w:val="lowerRoman"/>
      <w:lvlText w:val="%6."/>
      <w:lvlJc w:val="right"/>
      <w:pPr>
        <w:ind w:left="4320" w:hanging="180"/>
      </w:pPr>
    </w:lvl>
    <w:lvl w:ilvl="6" w:tplc="1690E7A8">
      <w:start w:val="1"/>
      <w:numFmt w:val="decimal"/>
      <w:lvlText w:val="%7."/>
      <w:lvlJc w:val="left"/>
      <w:pPr>
        <w:ind w:left="5040" w:hanging="360"/>
      </w:pPr>
    </w:lvl>
    <w:lvl w:ilvl="7" w:tplc="C2D4DD3E">
      <w:start w:val="1"/>
      <w:numFmt w:val="lowerLetter"/>
      <w:lvlText w:val="%8."/>
      <w:lvlJc w:val="left"/>
      <w:pPr>
        <w:ind w:left="5760" w:hanging="360"/>
      </w:pPr>
    </w:lvl>
    <w:lvl w:ilvl="8" w:tplc="55EA5950">
      <w:start w:val="1"/>
      <w:numFmt w:val="lowerRoman"/>
      <w:lvlText w:val="%9."/>
      <w:lvlJc w:val="right"/>
      <w:pPr>
        <w:ind w:left="6480" w:hanging="180"/>
      </w:pPr>
    </w:lvl>
  </w:abstractNum>
  <w:abstractNum w:abstractNumId="1" w15:restartNumberingAfterBreak="0">
    <w:nsid w:val="420D25E9"/>
    <w:multiLevelType w:val="hybridMultilevel"/>
    <w:tmpl w:val="1CB6C5B8"/>
    <w:lvl w:ilvl="0" w:tplc="3AE82688">
      <w:start w:val="1"/>
      <w:numFmt w:val="decimal"/>
      <w:lvlText w:val="%1."/>
      <w:lvlJc w:val="left"/>
      <w:pPr>
        <w:ind w:left="720" w:hanging="360"/>
      </w:pPr>
      <w:rPr>
        <w:b w:val="0"/>
        <w:sz w:val="22"/>
      </w:rPr>
    </w:lvl>
    <w:lvl w:ilvl="1" w:tplc="87C07506">
      <w:start w:val="1"/>
      <w:numFmt w:val="lowerLetter"/>
      <w:lvlText w:val="%2."/>
      <w:lvlJc w:val="left"/>
      <w:pPr>
        <w:ind w:left="1440" w:hanging="360"/>
      </w:pPr>
    </w:lvl>
    <w:lvl w:ilvl="2" w:tplc="FB048634">
      <w:start w:val="1"/>
      <w:numFmt w:val="lowerRoman"/>
      <w:lvlText w:val="%3."/>
      <w:lvlJc w:val="right"/>
      <w:pPr>
        <w:ind w:left="2160" w:hanging="180"/>
      </w:pPr>
    </w:lvl>
    <w:lvl w:ilvl="3" w:tplc="F7727BA0">
      <w:start w:val="1"/>
      <w:numFmt w:val="decimal"/>
      <w:lvlText w:val="%4."/>
      <w:lvlJc w:val="left"/>
      <w:pPr>
        <w:ind w:left="2880" w:hanging="360"/>
      </w:pPr>
    </w:lvl>
    <w:lvl w:ilvl="4" w:tplc="0D168AA4">
      <w:start w:val="1"/>
      <w:numFmt w:val="lowerLetter"/>
      <w:lvlText w:val="%5."/>
      <w:lvlJc w:val="left"/>
      <w:pPr>
        <w:ind w:left="3600" w:hanging="360"/>
      </w:pPr>
    </w:lvl>
    <w:lvl w:ilvl="5" w:tplc="4A1A4C84">
      <w:start w:val="1"/>
      <w:numFmt w:val="lowerRoman"/>
      <w:lvlText w:val="%6."/>
      <w:lvlJc w:val="right"/>
      <w:pPr>
        <w:ind w:left="4320" w:hanging="180"/>
      </w:pPr>
    </w:lvl>
    <w:lvl w:ilvl="6" w:tplc="F6A49E28">
      <w:start w:val="1"/>
      <w:numFmt w:val="decimal"/>
      <w:lvlText w:val="%7."/>
      <w:lvlJc w:val="left"/>
      <w:pPr>
        <w:ind w:left="5040" w:hanging="360"/>
      </w:pPr>
    </w:lvl>
    <w:lvl w:ilvl="7" w:tplc="CE947B24">
      <w:start w:val="1"/>
      <w:numFmt w:val="lowerLetter"/>
      <w:lvlText w:val="%8."/>
      <w:lvlJc w:val="left"/>
      <w:pPr>
        <w:ind w:left="5760" w:hanging="360"/>
      </w:pPr>
    </w:lvl>
    <w:lvl w:ilvl="8" w:tplc="9704E956">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97D62"/>
    <w:rsid w:val="00025D1E"/>
    <w:rsid w:val="000C23C4"/>
    <w:rsid w:val="001929C4"/>
    <w:rsid w:val="00202FB7"/>
    <w:rsid w:val="002441BE"/>
    <w:rsid w:val="003B5DC8"/>
    <w:rsid w:val="003B7AC7"/>
    <w:rsid w:val="00463550"/>
    <w:rsid w:val="005F63DA"/>
    <w:rsid w:val="00661843"/>
    <w:rsid w:val="00682F87"/>
    <w:rsid w:val="007020D7"/>
    <w:rsid w:val="007273EA"/>
    <w:rsid w:val="00734C27"/>
    <w:rsid w:val="00794F3A"/>
    <w:rsid w:val="00813284"/>
    <w:rsid w:val="008B73B7"/>
    <w:rsid w:val="008C3F44"/>
    <w:rsid w:val="00945482"/>
    <w:rsid w:val="00A70C24"/>
    <w:rsid w:val="00A75EB5"/>
    <w:rsid w:val="00B01603"/>
    <w:rsid w:val="00B01978"/>
    <w:rsid w:val="00B67521"/>
    <w:rsid w:val="00B67F7F"/>
    <w:rsid w:val="00B75150"/>
    <w:rsid w:val="00C323A3"/>
    <w:rsid w:val="00C962EF"/>
    <w:rsid w:val="00CB2859"/>
    <w:rsid w:val="00CF7FB9"/>
    <w:rsid w:val="00D077F4"/>
    <w:rsid w:val="00D6520F"/>
    <w:rsid w:val="00D97D62"/>
    <w:rsid w:val="00E35021"/>
    <w:rsid w:val="00E839BC"/>
    <w:rsid w:val="00EF49BC"/>
    <w:rsid w:val="00F03951"/>
    <w:rsid w:val="00F35DFD"/>
    <w:rsid w:val="00F94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97058"/>
  <w15:chartTrackingRefBased/>
  <w15:docId w15:val="{E9B28174-D45B-4EE7-B49E-0EE8E0F6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D62"/>
    <w:pPr>
      <w:jc w:val="both"/>
    </w:pPr>
    <w:rPr>
      <w:rFonts w:ascii="Arial" w:hAnsi="Arial"/>
    </w:rPr>
  </w:style>
  <w:style w:type="paragraph" w:styleId="Heading1">
    <w:name w:val="heading 1"/>
    <w:basedOn w:val="Normal"/>
    <w:next w:val="Normal"/>
    <w:link w:val="Heading1Char"/>
    <w:uiPriority w:val="9"/>
    <w:qFormat/>
    <w:rsid w:val="00D97D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D62"/>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D6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D97D62"/>
    <w:pPr>
      <w:spacing w:after="0" w:line="240" w:lineRule="auto"/>
      <w:jc w:val="left"/>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7D62"/>
    <w:rPr>
      <w:rFonts w:ascii="Segoe UI" w:hAnsi="Segoe UI" w:cs="Segoe UI"/>
      <w:sz w:val="18"/>
      <w:szCs w:val="18"/>
    </w:rPr>
  </w:style>
  <w:style w:type="character" w:styleId="CommentReference">
    <w:name w:val="annotation reference"/>
    <w:basedOn w:val="DefaultParagraphFont"/>
    <w:uiPriority w:val="99"/>
    <w:semiHidden/>
    <w:unhideWhenUsed/>
    <w:rsid w:val="00D97D62"/>
    <w:rPr>
      <w:sz w:val="16"/>
      <w:szCs w:val="16"/>
    </w:rPr>
  </w:style>
  <w:style w:type="paragraph" w:styleId="CommentText">
    <w:name w:val="annotation text"/>
    <w:basedOn w:val="Normal"/>
    <w:link w:val="CommentTextChar"/>
    <w:uiPriority w:val="99"/>
    <w:unhideWhenUsed/>
    <w:rsid w:val="00D97D62"/>
    <w:pPr>
      <w:spacing w:line="240" w:lineRule="auto"/>
    </w:pPr>
    <w:rPr>
      <w:sz w:val="20"/>
      <w:szCs w:val="20"/>
    </w:rPr>
  </w:style>
  <w:style w:type="character" w:customStyle="1" w:styleId="CommentTextChar">
    <w:name w:val="Comment Text Char"/>
    <w:basedOn w:val="DefaultParagraphFont"/>
    <w:link w:val="CommentText"/>
    <w:uiPriority w:val="99"/>
    <w:rsid w:val="00D97D62"/>
    <w:rPr>
      <w:rFonts w:ascii="Arial" w:hAnsi="Arial"/>
      <w:sz w:val="20"/>
      <w:szCs w:val="20"/>
    </w:rPr>
  </w:style>
  <w:style w:type="paragraph" w:styleId="Title">
    <w:name w:val="Title"/>
    <w:basedOn w:val="Normal"/>
    <w:next w:val="Normal"/>
    <w:link w:val="TitleChar"/>
    <w:uiPriority w:val="10"/>
    <w:qFormat/>
    <w:rsid w:val="00D97D62"/>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97D62"/>
    <w:rPr>
      <w:rFonts w:ascii="Arial" w:eastAsiaTheme="majorEastAsia" w:hAnsi="Arial" w:cstheme="majorBidi"/>
      <w:b/>
      <w:spacing w:val="-10"/>
      <w:kern w:val="28"/>
      <w:sz w:val="28"/>
      <w:szCs w:val="56"/>
    </w:rPr>
  </w:style>
  <w:style w:type="paragraph" w:customStyle="1" w:styleId="Style2">
    <w:name w:val="Style2"/>
    <w:basedOn w:val="Heading3"/>
    <w:qFormat/>
    <w:rsid w:val="00D97D62"/>
    <w:pPr>
      <w:ind w:firstLine="720"/>
    </w:pPr>
    <w:rPr>
      <w:rFonts w:ascii="Athelas" w:hAnsi="Athelas"/>
      <w:i/>
      <w:sz w:val="36"/>
    </w:rPr>
  </w:style>
  <w:style w:type="paragraph" w:styleId="ListParagraph">
    <w:name w:val="List Paragraph"/>
    <w:basedOn w:val="Normal"/>
    <w:uiPriority w:val="34"/>
    <w:qFormat/>
    <w:rsid w:val="00D97D62"/>
    <w:pPr>
      <w:ind w:left="720"/>
      <w:contextualSpacing/>
    </w:pPr>
  </w:style>
  <w:style w:type="paragraph" w:customStyle="1" w:styleId="EndNoteBibliographyTitle">
    <w:name w:val="EndNote Bibliography Title"/>
    <w:basedOn w:val="Normal"/>
    <w:link w:val="EndNoteBibliographyTitleChar"/>
    <w:rsid w:val="00D97D62"/>
    <w:pPr>
      <w:spacing w:after="0"/>
      <w:jc w:val="center"/>
    </w:pPr>
    <w:rPr>
      <w:rFonts w:cs="Arial"/>
    </w:rPr>
  </w:style>
  <w:style w:type="character" w:customStyle="1" w:styleId="EndNoteBibliographyTitleChar">
    <w:name w:val="EndNote Bibliography Title Char"/>
    <w:basedOn w:val="DefaultParagraphFont"/>
    <w:link w:val="EndNoteBibliographyTitle"/>
    <w:rsid w:val="00D97D62"/>
    <w:rPr>
      <w:rFonts w:ascii="Arial" w:hAnsi="Arial" w:cs="Arial"/>
    </w:rPr>
  </w:style>
  <w:style w:type="paragraph" w:customStyle="1" w:styleId="EndNoteBibliography">
    <w:name w:val="EndNote Bibliography"/>
    <w:basedOn w:val="Normal"/>
    <w:link w:val="EndNoteBibliographyChar"/>
    <w:rsid w:val="00D97D62"/>
    <w:pPr>
      <w:spacing w:line="240" w:lineRule="auto"/>
    </w:pPr>
    <w:rPr>
      <w:rFonts w:cs="Arial"/>
    </w:rPr>
  </w:style>
  <w:style w:type="character" w:customStyle="1" w:styleId="EndNoteBibliographyChar">
    <w:name w:val="EndNote Bibliography Char"/>
    <w:basedOn w:val="DefaultParagraphFont"/>
    <w:link w:val="EndNoteBibliography"/>
    <w:rsid w:val="00D97D62"/>
    <w:rPr>
      <w:rFonts w:ascii="Arial" w:hAnsi="Arial" w:cs="Arial"/>
    </w:rPr>
  </w:style>
  <w:style w:type="paragraph" w:styleId="Revision">
    <w:name w:val="Revision"/>
    <w:hidden/>
    <w:uiPriority w:val="99"/>
    <w:semiHidden/>
    <w:rsid w:val="00D97D62"/>
    <w:pPr>
      <w:spacing w:after="0" w:line="240" w:lineRule="auto"/>
    </w:pPr>
    <w:rPr>
      <w:rFonts w:ascii="Arial" w:hAnsi="Arial"/>
    </w:rPr>
  </w:style>
  <w:style w:type="character" w:styleId="PlaceholderText">
    <w:name w:val="Placeholder Text"/>
    <w:basedOn w:val="DefaultParagraphFont"/>
    <w:uiPriority w:val="99"/>
    <w:semiHidden/>
    <w:rsid w:val="00D97D62"/>
    <w:rPr>
      <w:color w:val="808080"/>
    </w:rPr>
  </w:style>
  <w:style w:type="paragraph" w:styleId="Caption">
    <w:name w:val="caption"/>
    <w:basedOn w:val="Normal"/>
    <w:next w:val="Normal"/>
    <w:uiPriority w:val="35"/>
    <w:unhideWhenUsed/>
    <w:qFormat/>
    <w:rsid w:val="00D97D62"/>
    <w:pPr>
      <w:spacing w:after="200" w:line="240" w:lineRule="auto"/>
    </w:pPr>
    <w:rPr>
      <w:i/>
      <w:iCs/>
      <w:color w:val="44546A" w:themeColor="text2"/>
      <w:sz w:val="18"/>
      <w:szCs w:val="18"/>
    </w:rPr>
  </w:style>
  <w:style w:type="table" w:styleId="TableGrid">
    <w:name w:val="Table Grid"/>
    <w:basedOn w:val="TableNormal"/>
    <w:uiPriority w:val="39"/>
    <w:rsid w:val="00D97D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97D62"/>
    <w:rPr>
      <w:b/>
      <w:bCs/>
    </w:rPr>
  </w:style>
  <w:style w:type="character" w:customStyle="1" w:styleId="CommentSubjectChar">
    <w:name w:val="Comment Subject Char"/>
    <w:basedOn w:val="CommentTextChar"/>
    <w:link w:val="CommentSubject"/>
    <w:uiPriority w:val="99"/>
    <w:semiHidden/>
    <w:rsid w:val="00D97D62"/>
    <w:rPr>
      <w:rFonts w:ascii="Arial" w:hAnsi="Arial"/>
      <w:b/>
      <w:bCs/>
      <w:sz w:val="20"/>
      <w:szCs w:val="20"/>
    </w:rPr>
  </w:style>
  <w:style w:type="character" w:styleId="Hyperlink">
    <w:name w:val="Hyperlink"/>
    <w:basedOn w:val="DefaultParagraphFont"/>
    <w:uiPriority w:val="99"/>
    <w:unhideWhenUsed/>
    <w:rsid w:val="00D97D62"/>
    <w:rPr>
      <w:color w:val="0563C1" w:themeColor="hyperlink"/>
      <w:u w:val="single"/>
    </w:rPr>
  </w:style>
  <w:style w:type="character" w:customStyle="1" w:styleId="UnresolvedMention1">
    <w:name w:val="Unresolved Mention1"/>
    <w:basedOn w:val="DefaultParagraphFont"/>
    <w:uiPriority w:val="99"/>
    <w:semiHidden/>
    <w:unhideWhenUsed/>
    <w:rsid w:val="00D97D62"/>
    <w:rPr>
      <w:color w:val="605E5C"/>
      <w:shd w:val="clear" w:color="auto" w:fill="E1DFDD"/>
    </w:rPr>
  </w:style>
  <w:style w:type="character" w:styleId="UnresolvedMention">
    <w:name w:val="Unresolved Mention"/>
    <w:basedOn w:val="DefaultParagraphFont"/>
    <w:uiPriority w:val="99"/>
    <w:semiHidden/>
    <w:unhideWhenUsed/>
    <w:rsid w:val="00D97D62"/>
    <w:rPr>
      <w:color w:val="605E5C"/>
      <w:shd w:val="clear" w:color="auto" w:fill="E1DFDD"/>
    </w:rPr>
  </w:style>
  <w:style w:type="character" w:styleId="LineNumber">
    <w:name w:val="line number"/>
    <w:basedOn w:val="DefaultParagraphFont"/>
    <w:uiPriority w:val="99"/>
    <w:semiHidden/>
    <w:unhideWhenUsed/>
    <w:rsid w:val="00D97D62"/>
  </w:style>
  <w:style w:type="paragraph" w:styleId="Header">
    <w:name w:val="header"/>
    <w:basedOn w:val="Normal"/>
    <w:link w:val="HeaderChar"/>
    <w:uiPriority w:val="99"/>
    <w:unhideWhenUsed/>
    <w:rsid w:val="00D97D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D62"/>
    <w:rPr>
      <w:rFonts w:ascii="Arial" w:hAnsi="Arial"/>
    </w:rPr>
  </w:style>
  <w:style w:type="paragraph" w:styleId="Footer">
    <w:name w:val="footer"/>
    <w:basedOn w:val="Normal"/>
    <w:link w:val="FooterChar"/>
    <w:uiPriority w:val="99"/>
    <w:unhideWhenUsed/>
    <w:rsid w:val="00D97D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D62"/>
    <w:rPr>
      <w:rFonts w:ascii="Arial" w:hAnsi="Arial"/>
    </w:rPr>
  </w:style>
  <w:style w:type="paragraph" w:customStyle="1" w:styleId="Legendpanel">
    <w:name w:val="Legend_panel"/>
    <w:basedOn w:val="Normal"/>
    <w:link w:val="LegendpanelChar"/>
    <w:qFormat/>
    <w:rsid w:val="00D97D62"/>
    <w:pPr>
      <w:jc w:val="left"/>
    </w:pPr>
    <w:rPr>
      <w:rFonts w:asciiTheme="minorHAnsi" w:hAnsiTheme="minorHAnsi"/>
      <w:b/>
      <w:bCs/>
      <w:i/>
      <w:iCs/>
    </w:rPr>
  </w:style>
  <w:style w:type="paragraph" w:customStyle="1" w:styleId="Manuscript">
    <w:name w:val="Manuscript"/>
    <w:basedOn w:val="Normal"/>
    <w:link w:val="ManuscriptChar"/>
    <w:qFormat/>
    <w:rsid w:val="00D97D62"/>
    <w:pPr>
      <w:jc w:val="left"/>
    </w:pPr>
    <w:rPr>
      <w:rFonts w:asciiTheme="minorHAnsi" w:hAnsiTheme="minorHAnsi"/>
    </w:rPr>
  </w:style>
  <w:style w:type="character" w:customStyle="1" w:styleId="LegendpanelChar">
    <w:name w:val="Legend_panel Char"/>
    <w:basedOn w:val="DefaultParagraphFont"/>
    <w:link w:val="Legendpanel"/>
    <w:rsid w:val="00D97D62"/>
    <w:rPr>
      <w:b/>
      <w:bCs/>
      <w:i/>
      <w:iCs/>
    </w:rPr>
  </w:style>
  <w:style w:type="character" w:customStyle="1" w:styleId="ManuscriptChar">
    <w:name w:val="Manuscript Char"/>
    <w:basedOn w:val="DefaultParagraphFont"/>
    <w:link w:val="Manuscript"/>
    <w:rsid w:val="00D97D62"/>
  </w:style>
  <w:style w:type="paragraph" w:customStyle="1" w:styleId="Reviewerscomplaint">
    <w:name w:val="Reviewer's complaint"/>
    <w:basedOn w:val="Normal"/>
    <w:link w:val="ReviewerscomplaintChar"/>
    <w:qFormat/>
    <w:rsid w:val="00E839BC"/>
    <w:rPr>
      <w:rFonts w:eastAsia="Times New Roman" w:cs="Arial"/>
      <w:i/>
      <w:iCs/>
      <w:color w:val="000000"/>
      <w:sz w:val="24"/>
    </w:rPr>
  </w:style>
  <w:style w:type="paragraph" w:customStyle="1" w:styleId="Manisreply">
    <w:name w:val="Mani's reply"/>
    <w:basedOn w:val="Normal"/>
    <w:link w:val="ManisreplyChar"/>
    <w:qFormat/>
    <w:rsid w:val="00E839BC"/>
    <w:rPr>
      <w:rFonts w:eastAsia="Times New Roman" w:cs="Arial"/>
      <w:color w:val="000000"/>
      <w:sz w:val="24"/>
    </w:rPr>
  </w:style>
  <w:style w:type="character" w:customStyle="1" w:styleId="ReviewerscomplaintChar">
    <w:name w:val="Reviewer's complaint Char"/>
    <w:basedOn w:val="DefaultParagraphFont"/>
    <w:link w:val="Reviewerscomplaint"/>
    <w:rsid w:val="00E839BC"/>
    <w:rPr>
      <w:rFonts w:ascii="Arial" w:eastAsia="Times New Roman" w:hAnsi="Arial" w:cs="Arial"/>
      <w:i/>
      <w:iCs/>
      <w:color w:val="000000"/>
      <w:sz w:val="24"/>
    </w:rPr>
  </w:style>
  <w:style w:type="character" w:customStyle="1" w:styleId="ManisreplyChar">
    <w:name w:val="Mani's reply Char"/>
    <w:basedOn w:val="DefaultParagraphFont"/>
    <w:link w:val="Manisreply"/>
    <w:rsid w:val="00E839BC"/>
    <w:rPr>
      <w:rFonts w:ascii="Arial" w:eastAsia="Times New Roman"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09DD-50A5-40DD-9364-B39D6ADD7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Subramaniyan, Manivannan</dc:creator>
  <cp:keywords/>
  <dc:description/>
  <cp:lastModifiedBy>Subramaniyan, Manivannan</cp:lastModifiedBy>
  <cp:revision>5</cp:revision>
  <dcterms:created xsi:type="dcterms:W3CDTF">2021-04-12T13:28:00Z</dcterms:created>
  <dcterms:modified xsi:type="dcterms:W3CDTF">2021-07-29T20:31:00Z</dcterms:modified>
</cp:coreProperties>
</file>