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72A5" w14:textId="77777777" w:rsidR="00FB7436" w:rsidRDefault="00000000">
      <w:pPr>
        <w:pStyle w:val="Ttulo1"/>
      </w:pPr>
      <w:r>
        <w:t>Views del PM de Renta Fija: Globales Argentinos</w:t>
      </w:r>
    </w:p>
    <w:p w14:paraId="1E8372A6" w14:textId="77777777" w:rsidR="00FB7436" w:rsidRDefault="00000000">
      <w:pPr>
        <w:spacing w:after="120"/>
      </w:pPr>
      <w:r>
        <w:rPr>
          <w:i/>
          <w:iCs/>
        </w:rPr>
        <w:t>Aplicación de q-Tsallis Entropy Pooling a bonos soberanos argentinos en USD (GD29, GD30, GD35, GD38, GD41, GD46) con treasuries americanos (GT2, GT10) como referencia de riesgo duration.</w:t>
      </w:r>
    </w:p>
    <w:p w14:paraId="1E8372A7" w14:textId="77777777" w:rsidR="00FB7436" w:rsidRDefault="00FB7436">
      <w:pPr>
        <w:spacing w:after="120"/>
      </w:pPr>
    </w:p>
    <w:p w14:paraId="1E8372A8" w14:textId="77777777" w:rsidR="00FB7436" w:rsidRDefault="00000000">
      <w:pPr>
        <w:pStyle w:val="Ttulo2"/>
      </w:pPr>
      <w:r>
        <w:t>1. Escenarios del PM</w:t>
      </w:r>
    </w:p>
    <w:p w14:paraId="1E8372A9" w14:textId="77777777" w:rsidR="00FB7436" w:rsidRDefault="00000000">
      <w:pPr>
        <w:spacing w:after="120"/>
      </w:pPr>
      <w:r>
        <w:t>El portfolio manager define dos escenarios a horizonte 31/dic/2026 (~190 días hábiles):</w:t>
      </w:r>
    </w:p>
    <w:p w14:paraId="1E8372AA" w14:textId="77777777" w:rsidR="00FB7436" w:rsidRDefault="00FB7436">
      <w:pPr>
        <w:spacing w:after="120"/>
      </w:pPr>
    </w:p>
    <w:p w14:paraId="1E8372AB" w14:textId="77777777" w:rsidR="00FB7436" w:rsidRDefault="00000000">
      <w:pPr>
        <w:spacing w:after="120"/>
      </w:pPr>
      <w:r>
        <w:rPr>
          <w:b/>
          <w:bCs/>
          <w:color w:val="006600"/>
        </w:rPr>
        <w:t>Escenario Bueno (probabilidad: 70%) — Convergencia a investment grade, TIREA → 8.8%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400"/>
        <w:gridCol w:w="1960"/>
      </w:tblGrid>
      <w:tr w:rsidR="00FB7436" w14:paraId="1E8372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AC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AD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AE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Px Inicial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AF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Px Final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B0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TIREA Final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B1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Return</w:t>
            </w:r>
          </w:p>
        </w:tc>
      </w:tr>
      <w:tr w:rsidR="00FB7436" w14:paraId="1E8372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3" w14:textId="77777777" w:rsidR="00FB7436" w:rsidRDefault="00000000">
            <w:r>
              <w:rPr>
                <w:b/>
                <w:bCs/>
                <w:sz w:val="18"/>
                <w:szCs w:val="18"/>
              </w:rPr>
              <w:t>GD41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6.11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6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8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20.5%</w:t>
            </w:r>
          </w:p>
        </w:tc>
      </w:tr>
      <w:tr w:rsidR="00FB7436" w14:paraId="1E8372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A" w14:textId="77777777" w:rsidR="00FB7436" w:rsidRDefault="00000000">
            <w:r>
              <w:rPr>
                <w:b/>
                <w:bCs/>
                <w:sz w:val="18"/>
                <w:szCs w:val="18"/>
              </w:rPr>
              <w:t>GD35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B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0.84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E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BF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18.7%</w:t>
            </w:r>
          </w:p>
        </w:tc>
      </w:tr>
      <w:tr w:rsidR="00FB7436" w14:paraId="1E8372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1" w14:textId="77777777" w:rsidR="00FB7436" w:rsidRDefault="00000000">
            <w:r>
              <w:rPr>
                <w:b/>
                <w:bCs/>
                <w:sz w:val="18"/>
                <w:szCs w:val="18"/>
              </w:rPr>
              <w:t>GD38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4.86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6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17.9%</w:t>
            </w:r>
          </w:p>
        </w:tc>
      </w:tr>
      <w:tr w:rsidR="00FB7436" w14:paraId="1E8372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8" w14:textId="77777777" w:rsidR="00FB7436" w:rsidRDefault="00000000">
            <w:r>
              <w:rPr>
                <w:b/>
                <w:bCs/>
                <w:sz w:val="18"/>
                <w:szCs w:val="18"/>
              </w:rPr>
              <w:t>GD46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6.28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B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D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17.6%</w:t>
            </w:r>
          </w:p>
        </w:tc>
      </w:tr>
      <w:tr w:rsidR="00FB7436" w14:paraId="1E8372D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CF" w14:textId="77777777" w:rsidR="00FB7436" w:rsidRDefault="00000000">
            <w:r>
              <w:rPr>
                <w:b/>
                <w:bCs/>
                <w:sz w:val="18"/>
                <w:szCs w:val="18"/>
              </w:rPr>
              <w:t>GD30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0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1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4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8.9%</w:t>
            </w:r>
          </w:p>
        </w:tc>
      </w:tr>
      <w:tr w:rsidR="00FB7436" w14:paraId="1E8372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6" w14:textId="77777777" w:rsidR="00FB7436" w:rsidRDefault="00000000">
            <w:r>
              <w:rPr>
                <w:b/>
                <w:bCs/>
                <w:sz w:val="18"/>
                <w:szCs w:val="18"/>
              </w:rPr>
              <w:t>GD29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1.69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8.9%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DB" w14:textId="77777777" w:rsidR="00FB7436" w:rsidRDefault="00000000">
            <w:pPr>
              <w:jc w:val="center"/>
            </w:pPr>
            <w:r>
              <w:rPr>
                <w:color w:val="006600"/>
                <w:sz w:val="18"/>
                <w:szCs w:val="18"/>
              </w:rPr>
              <w:t>5.7%</w:t>
            </w:r>
          </w:p>
        </w:tc>
      </w:tr>
    </w:tbl>
    <w:p w14:paraId="1E8372DD" w14:textId="77777777" w:rsidR="00FB7436" w:rsidRDefault="00FB7436">
      <w:pPr>
        <w:spacing w:after="120"/>
      </w:pPr>
    </w:p>
    <w:p w14:paraId="1E8372DE" w14:textId="77777777" w:rsidR="00FB7436" w:rsidRDefault="00000000">
      <w:pPr>
        <w:spacing w:after="120"/>
      </w:pPr>
      <w:r>
        <w:rPr>
          <w:b/>
          <w:bCs/>
          <w:color w:val="CC0000"/>
        </w:rPr>
        <w:t>Escenario Malo (probabilidad: 30%) — Blow-up, TIREA → ~16%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400"/>
        <w:gridCol w:w="1960"/>
      </w:tblGrid>
      <w:tr w:rsidR="00FB7436" w14:paraId="1E8372E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DF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E0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E1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Px Inicial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E2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Px Final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E3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TIREA Final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2E4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Return</w:t>
            </w:r>
          </w:p>
        </w:tc>
      </w:tr>
      <w:tr w:rsidR="00FB7436" w14:paraId="1E8372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6" w14:textId="77777777" w:rsidR="00FB7436" w:rsidRDefault="00000000">
            <w:r>
              <w:rPr>
                <w:b/>
                <w:bCs/>
                <w:sz w:val="18"/>
                <w:szCs w:val="18"/>
              </w:rPr>
              <w:t>GD30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15.9%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B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-0.6%</w:t>
            </w:r>
          </w:p>
        </w:tc>
      </w:tr>
      <w:tr w:rsidR="00FB7436" w14:paraId="1E8372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D" w14:textId="77777777" w:rsidR="00FB7436" w:rsidRDefault="00000000">
            <w:r>
              <w:rPr>
                <w:b/>
                <w:bCs/>
                <w:sz w:val="18"/>
                <w:szCs w:val="18"/>
              </w:rPr>
              <w:t>GD29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E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1.69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EF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0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1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16.0%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2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-0.8%</w:t>
            </w:r>
          </w:p>
        </w:tc>
      </w:tr>
      <w:tr w:rsidR="00FB7436" w14:paraId="1E8372F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4" w14:textId="77777777" w:rsidR="00FB7436" w:rsidRDefault="00000000">
            <w:r>
              <w:rPr>
                <w:b/>
                <w:bCs/>
                <w:sz w:val="18"/>
                <w:szCs w:val="18"/>
              </w:rPr>
              <w:t>GD38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4.86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6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15.9%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9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-8.7%</w:t>
            </w:r>
          </w:p>
        </w:tc>
      </w:tr>
      <w:tr w:rsidR="00FB7436" w14:paraId="1E8373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B" w14:textId="77777777" w:rsidR="00FB7436" w:rsidRDefault="00000000">
            <w:r>
              <w:rPr>
                <w:b/>
                <w:bCs/>
                <w:sz w:val="18"/>
                <w:szCs w:val="18"/>
              </w:rPr>
              <w:t>GD35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5.71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0.73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E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2FF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0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-12.9%</w:t>
            </w:r>
          </w:p>
        </w:tc>
      </w:tr>
      <w:tr w:rsidR="00FB7436" w14:paraId="1E83730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2" w14:textId="77777777" w:rsidR="00FB7436" w:rsidRDefault="00000000">
            <w:r>
              <w:rPr>
                <w:b/>
                <w:bCs/>
                <w:sz w:val="18"/>
                <w:szCs w:val="18"/>
              </w:rPr>
              <w:t>GD41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6.12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6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7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-13.6%</w:t>
            </w:r>
          </w:p>
        </w:tc>
      </w:tr>
      <w:tr w:rsidR="00FB7436" w14:paraId="1E8373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9" w14:textId="77777777" w:rsidR="00FB7436" w:rsidRDefault="00000000">
            <w:r>
              <w:rPr>
                <w:b/>
                <w:bCs/>
                <w:sz w:val="18"/>
                <w:szCs w:val="18"/>
              </w:rPr>
              <w:t>GD46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6.28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B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0.65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0E" w14:textId="77777777" w:rsidR="00FB7436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-15.3%</w:t>
            </w:r>
          </w:p>
        </w:tc>
      </w:tr>
    </w:tbl>
    <w:p w14:paraId="1E837310" w14:textId="77777777" w:rsidR="00FB7436" w:rsidRDefault="00FB7436">
      <w:pPr>
        <w:spacing w:after="120"/>
      </w:pPr>
    </w:p>
    <w:p w14:paraId="1E837311" w14:textId="77777777" w:rsidR="00FB7436" w:rsidRDefault="00000000">
      <w:pPr>
        <w:spacing w:after="120"/>
      </w:pPr>
      <w:r>
        <w:t>Views de cola: el PM estima que la probabilidad de un blow-up de ±300 bps o más en un solo día es del 20% (ampliación) y 5% (compresión).</w:t>
      </w:r>
    </w:p>
    <w:p w14:paraId="1E837312" w14:textId="77777777" w:rsidR="00FB7436" w:rsidRDefault="00FB7436">
      <w:pPr>
        <w:spacing w:after="120"/>
      </w:pPr>
    </w:p>
    <w:p w14:paraId="1E837313" w14:textId="77777777" w:rsidR="00FB7436" w:rsidRDefault="00000000">
      <w:pPr>
        <w:pStyle w:val="Ttulo2"/>
      </w:pPr>
      <w:r>
        <w:t>2. Traducción de views a Entropy Pooling</w:t>
      </w:r>
    </w:p>
    <w:p w14:paraId="1E837314" w14:textId="77777777" w:rsidR="00FB7436" w:rsidRDefault="00000000">
      <w:pPr>
        <w:spacing w:after="120"/>
      </w:pPr>
      <w:r>
        <w:t>El factor invariante en renta fija es el cambio en yield (Δy). Los views del PM se traducen a constraints sobre la distribución de Δy:</w:t>
      </w:r>
    </w:p>
    <w:p w14:paraId="1E837315" w14:textId="77777777" w:rsidR="00FB7436" w:rsidRDefault="00FB74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4200"/>
        <w:gridCol w:w="1460"/>
      </w:tblGrid>
      <w:tr w:rsidR="00FB7436" w14:paraId="1E83731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16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17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View del PM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18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Traducción a EP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19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Confianza</w:t>
            </w:r>
          </w:p>
        </w:tc>
      </w:tr>
      <w:tr w:rsidR="00FB7436" w14:paraId="1E83732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1B" w14:textId="77777777" w:rsidR="00FB7436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1C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Ranking de TR ponderado</w:t>
            </w:r>
          </w:p>
          <w:p w14:paraId="1E83731D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(70% bueno / 30% malo)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1E" w14:textId="77777777" w:rsidR="00FB7436" w:rsidRPr="00224DB7" w:rsidRDefault="00000000">
            <w:pPr>
              <w:spacing w:after="40"/>
              <w:rPr>
                <w:lang w:val="en-US"/>
              </w:rPr>
            </w:pPr>
            <w:r w:rsidRPr="00224DB7">
              <w:rPr>
                <w:sz w:val="17"/>
                <w:szCs w:val="17"/>
                <w:lang w:val="en-US"/>
              </w:rPr>
              <w:t>GD41 &gt; GD38 &gt; GD35 &gt; GD46 &gt; GD30 &gt; GD29</w:t>
            </w:r>
          </w:p>
          <w:p w14:paraId="1E83731F" w14:textId="77777777" w:rsidR="00FB7436" w:rsidRDefault="00000000"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>En Entropy Pooling (sobre Δy invertido):</w:t>
            </w:r>
          </w:p>
          <w:p w14:paraId="1E837320" w14:textId="77777777" w:rsidR="00FB7436" w:rsidRPr="00224DB7" w:rsidRDefault="00000000">
            <w:pPr>
              <w:spacing w:after="40"/>
              <w:rPr>
                <w:lang w:val="en-US"/>
              </w:rPr>
            </w:pPr>
            <w:r w:rsidRPr="00224DB7">
              <w:rPr>
                <w:sz w:val="17"/>
                <w:szCs w:val="17"/>
                <w:lang w:val="en-US"/>
              </w:rPr>
              <w:t>GD29 &gt; GD30 &gt; GD46 &gt; GD35 &gt; GD38 &gt; GD41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1" w14:textId="77777777" w:rsidR="00FB7436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70%</w:t>
            </w:r>
          </w:p>
        </w:tc>
      </w:tr>
      <w:tr w:rsidR="00FB7436" w14:paraId="1E83732A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3" w14:textId="77777777" w:rsidR="00FB7436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4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Cola derecha: blow-up</w:t>
            </w:r>
          </w:p>
          <w:p w14:paraId="1E837325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lastRenderedPageBreak/>
              <w:t>P(Δy &gt; +300 bps) ≤ 20%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6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lastRenderedPageBreak/>
              <w:t>Para cada Global: la probabilidad de que la yield</w:t>
            </w:r>
          </w:p>
          <w:p w14:paraId="1E837327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lastRenderedPageBreak/>
              <w:t>suba más de 300 bps en un día es como máximo 20%.</w:t>
            </w:r>
          </w:p>
          <w:p w14:paraId="1E837328" w14:textId="77777777" w:rsidR="00FB7436" w:rsidRPr="00224DB7" w:rsidRDefault="00000000">
            <w:pPr>
              <w:spacing w:after="40"/>
              <w:rPr>
                <w:lang w:val="en-US"/>
              </w:rPr>
            </w:pPr>
            <w:r w:rsidRPr="00224DB7">
              <w:rPr>
                <w:i/>
                <w:iCs/>
                <w:sz w:val="17"/>
                <w:szCs w:val="17"/>
                <w:lang w:val="en-US"/>
              </w:rPr>
              <w:t>tail_upper(threshold=3.0, max_prob=0.20)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9" w14:textId="77777777" w:rsidR="00FB7436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lastRenderedPageBreak/>
              <w:t>70%</w:t>
            </w:r>
          </w:p>
        </w:tc>
      </w:tr>
      <w:tr w:rsidR="00FB7436" w14:paraId="1E837332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B" w14:textId="77777777" w:rsidR="00FB7436" w:rsidRDefault="00000000">
            <w:pPr>
              <w:spacing w:after="40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C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Cola izquierda: compresión</w:t>
            </w:r>
          </w:p>
          <w:p w14:paraId="1E83732D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P(Δy &lt; -300 bps) ≤ 5%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2E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Para cada Global: la probabilidad de comprimir</w:t>
            </w:r>
          </w:p>
          <w:p w14:paraId="1E83732F" w14:textId="77777777" w:rsidR="00FB7436" w:rsidRDefault="00000000">
            <w:pPr>
              <w:spacing w:after="40"/>
            </w:pPr>
            <w:r>
              <w:rPr>
                <w:sz w:val="17"/>
                <w:szCs w:val="17"/>
              </w:rPr>
              <w:t>más de 300 bps en un día es como máximo 5%.</w:t>
            </w:r>
          </w:p>
          <w:p w14:paraId="1E837330" w14:textId="77777777" w:rsidR="00FB7436" w:rsidRDefault="00000000">
            <w:pPr>
              <w:spacing w:after="40"/>
            </w:pPr>
            <w:r>
              <w:rPr>
                <w:i/>
                <w:iCs/>
                <w:sz w:val="17"/>
                <w:szCs w:val="17"/>
              </w:rPr>
              <w:t>tail(threshold=-3.0, max_prob=0.05)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31" w14:textId="77777777" w:rsidR="00FB7436" w:rsidRDefault="00000000">
            <w:pPr>
              <w:spacing w:after="40"/>
              <w:jc w:val="center"/>
            </w:pPr>
            <w:r>
              <w:rPr>
                <w:sz w:val="17"/>
                <w:szCs w:val="17"/>
              </w:rPr>
              <w:t>70%</w:t>
            </w:r>
          </w:p>
        </w:tc>
      </w:tr>
    </w:tbl>
    <w:p w14:paraId="1E837333" w14:textId="77777777" w:rsidR="00FB7436" w:rsidRDefault="00FB7436">
      <w:pPr>
        <w:spacing w:after="120"/>
      </w:pPr>
    </w:p>
    <w:p w14:paraId="1E837334" w14:textId="77777777" w:rsidR="00FB7436" w:rsidRDefault="00000000">
      <w:pPr>
        <w:spacing w:after="120"/>
      </w:pPr>
      <w:r>
        <w:rPr>
          <w:i/>
          <w:iCs/>
          <w:sz w:val="20"/>
          <w:szCs w:val="20"/>
        </w:rPr>
        <w:t>Nota: los views de cola (2 y 3) se aplican como desigualdades sobre la distribución empírica. Son solo compatibles con EP/q-EP (no con Black-Litterman). El mapeo de Δy a retornos de precio se realiza vía ΔP/P ≈ -D·Δy + ½C·(Δy)² con duration y convexity rolling.</w:t>
      </w:r>
    </w:p>
    <w:p w14:paraId="1E837335" w14:textId="77777777" w:rsidR="00FB7436" w:rsidRDefault="00FB7436">
      <w:pPr>
        <w:spacing w:after="120"/>
      </w:pPr>
    </w:p>
    <w:p w14:paraId="1E837336" w14:textId="77777777" w:rsidR="00FB7436" w:rsidRDefault="00000000">
      <w:pPr>
        <w:pStyle w:val="Ttulo2"/>
      </w:pPr>
      <w:r>
        <w:t>3. Resultados: Pesos Óptimos</w:t>
      </w:r>
    </w:p>
    <w:p w14:paraId="1E837337" w14:textId="77777777" w:rsidR="00FB7436" w:rsidRDefault="00000000">
      <w:pPr>
        <w:spacing w:after="120"/>
      </w:pPr>
      <w:r>
        <w:t>Parámetros: δ=2.5, τ=0.05, q=2.0, CONFIDENCE=0.50, MAX_WEIGHT=30%, DURATION_MODE=rolling_convex.</w:t>
      </w:r>
    </w:p>
    <w:p w14:paraId="1E837338" w14:textId="77777777" w:rsidR="00FB7436" w:rsidRDefault="00FB74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60"/>
        <w:gridCol w:w="1560"/>
        <w:gridCol w:w="1560"/>
        <w:gridCol w:w="1880"/>
      </w:tblGrid>
      <w:tr w:rsidR="00FB7436" w14:paraId="1E8373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9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A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B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C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qEP (%)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D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E[R] prior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3E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 (last)</w:t>
            </w:r>
          </w:p>
        </w:tc>
      </w:tr>
      <w:tr w:rsidR="00FB7436" w14:paraId="1E8373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0" w14:textId="77777777" w:rsidR="00FB7436" w:rsidRDefault="00000000">
            <w:r>
              <w:rPr>
                <w:b/>
                <w:bCs/>
                <w:sz w:val="18"/>
                <w:szCs w:val="18"/>
              </w:rPr>
              <w:t>GD29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1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0.0050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1.62</w:t>
            </w:r>
          </w:p>
        </w:tc>
      </w:tr>
      <w:tr w:rsidR="00FB7436" w14:paraId="1E83734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7" w14:textId="77777777" w:rsidR="00FB7436" w:rsidRDefault="00000000">
            <w:r>
              <w:rPr>
                <w:b/>
                <w:bCs/>
                <w:sz w:val="18"/>
                <w:szCs w:val="18"/>
              </w:rPr>
              <w:t>GD30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B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0.0077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2.03</w:t>
            </w:r>
          </w:p>
        </w:tc>
      </w:tr>
      <w:tr w:rsidR="00FB7436" w14:paraId="1E8373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E" w14:textId="77777777" w:rsidR="00FB7436" w:rsidRDefault="00000000">
            <w:r>
              <w:rPr>
                <w:b/>
                <w:bCs/>
                <w:sz w:val="18"/>
                <w:szCs w:val="18"/>
              </w:rPr>
              <w:t>GD35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4F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0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1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0.0328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5.44</w:t>
            </w:r>
          </w:p>
        </w:tc>
      </w:tr>
      <w:tr w:rsidR="00FB7436" w14:paraId="1E83735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5" w14:textId="77777777" w:rsidR="00FB7436" w:rsidRDefault="00000000">
            <w:r>
              <w:rPr>
                <w:b/>
                <w:bCs/>
                <w:sz w:val="18"/>
                <w:szCs w:val="18"/>
              </w:rPr>
              <w:t>GD38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6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7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8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0.0266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4.63</w:t>
            </w:r>
          </w:p>
        </w:tc>
      </w:tr>
      <w:tr w:rsidR="00FB7436" w14:paraId="1E83736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C" w14:textId="77777777" w:rsidR="00FB7436" w:rsidRDefault="00000000">
            <w:r>
              <w:rPr>
                <w:b/>
                <w:bCs/>
                <w:sz w:val="18"/>
                <w:szCs w:val="18"/>
              </w:rPr>
              <w:t>GD41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E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27.93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5F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27.93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0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0.0264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1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5.81</w:t>
            </w:r>
          </w:p>
        </w:tc>
      </w:tr>
      <w:tr w:rsidR="00FB7436" w14:paraId="1E83736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3" w14:textId="77777777" w:rsidR="00FB7436" w:rsidRDefault="00000000">
            <w:r>
              <w:rPr>
                <w:b/>
                <w:bCs/>
                <w:sz w:val="18"/>
                <w:szCs w:val="18"/>
              </w:rPr>
              <w:t>GD46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15.83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5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6" w14:textId="77777777" w:rsidR="00FB74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0.0225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5.92</w:t>
            </w:r>
          </w:p>
        </w:tc>
      </w:tr>
      <w:tr w:rsidR="00FB7436" w14:paraId="1E8373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A" w14:textId="77777777" w:rsidR="00FB7436" w:rsidRDefault="00000000">
            <w:r>
              <w:rPr>
                <w:b/>
                <w:bCs/>
                <w:sz w:val="18"/>
                <w:szCs w:val="18"/>
              </w:rPr>
              <w:t>GT10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B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C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E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-0.0199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6F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8.00</w:t>
            </w:r>
          </w:p>
        </w:tc>
      </w:tr>
      <w:tr w:rsidR="00FB7436" w14:paraId="1E83737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1" w14:textId="77777777" w:rsidR="00FB7436" w:rsidRDefault="00000000">
            <w:r>
              <w:rPr>
                <w:b/>
                <w:bCs/>
                <w:sz w:val="18"/>
                <w:szCs w:val="18"/>
              </w:rPr>
              <w:t>GT2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12.07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12.07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-0.0060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76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1.90</w:t>
            </w:r>
          </w:p>
        </w:tc>
      </w:tr>
    </w:tbl>
    <w:p w14:paraId="1E837378" w14:textId="77777777" w:rsidR="00FB7436" w:rsidRDefault="00FB7436">
      <w:pPr>
        <w:spacing w:after="120"/>
      </w:pPr>
    </w:p>
    <w:p w14:paraId="1E837379" w14:textId="77777777" w:rsidR="00FB7436" w:rsidRDefault="00000000">
      <w:pPr>
        <w:spacing w:after="120"/>
      </w:pPr>
      <w:r>
        <w:t>EP y q-Tsallis-EP concentran en GD38 (30%), GD46 (30%) y GD41 (28%), con GT2 (12%) como activo de baja volatilidad. Eliminan GD29, GD30, GD35 y GT10.</w:t>
      </w:r>
    </w:p>
    <w:p w14:paraId="1E83737A" w14:textId="77777777" w:rsidR="00FB7436" w:rsidRDefault="00FB7436">
      <w:pPr>
        <w:spacing w:after="120"/>
      </w:pPr>
    </w:p>
    <w:p w14:paraId="1E83737B" w14:textId="77777777" w:rsidR="00FB7436" w:rsidRDefault="00000000">
      <w:pPr>
        <w:pStyle w:val="Ttulo2"/>
      </w:pPr>
      <w:r>
        <w:t>4. Métricas de Riesgo-Retorno</w:t>
      </w:r>
    </w:p>
    <w:p w14:paraId="1E83737C" w14:textId="77777777" w:rsidR="00FB7436" w:rsidRDefault="00FB743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FB7436" w14:paraId="1E8373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7D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7E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7F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EP-Shannon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7380" w14:textId="77777777" w:rsidR="00FB743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q-Tsallis-EP</w:t>
            </w:r>
          </w:p>
        </w:tc>
      </w:tr>
      <w:tr w:rsidR="00FB7436" w14:paraId="1E8373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2" w14:textId="77777777" w:rsidR="00FB7436" w:rsidRDefault="00000000">
            <w:r>
              <w:rPr>
                <w:b/>
                <w:bCs/>
                <w:sz w:val="18"/>
                <w:szCs w:val="18"/>
              </w:rPr>
              <w:t>E[R] anual (%)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4.66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5.39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5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5.39</w:t>
            </w:r>
          </w:p>
        </w:tc>
      </w:tr>
      <w:tr w:rsidR="00FB7436" w14:paraId="1E83738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7" w14:textId="77777777" w:rsidR="00FB7436" w:rsidRDefault="00000000">
            <w:r>
              <w:rPr>
                <w:b/>
                <w:bCs/>
                <w:sz w:val="18"/>
                <w:szCs w:val="18"/>
              </w:rPr>
              <w:t>Vol anual (%)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17.28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16.49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A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16.49</w:t>
            </w:r>
          </w:p>
        </w:tc>
      </w:tr>
      <w:tr w:rsidR="00FB7436" w14:paraId="1E8373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C" w14:textId="77777777" w:rsidR="00FB7436" w:rsidRDefault="00000000">
            <w:r>
              <w:rPr>
                <w:b/>
                <w:bCs/>
                <w:sz w:val="18"/>
                <w:szCs w:val="18"/>
              </w:rPr>
              <w:t>Sharpe Ratio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D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0.270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E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0.327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8F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0.327</w:t>
            </w:r>
          </w:p>
        </w:tc>
      </w:tr>
      <w:tr w:rsidR="00FB7436" w14:paraId="1E8373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1" w14:textId="77777777" w:rsidR="00FB7436" w:rsidRDefault="00000000">
            <w:r>
              <w:rPr>
                <w:b/>
                <w:bCs/>
                <w:sz w:val="18"/>
                <w:szCs w:val="18"/>
              </w:rPr>
              <w:t>CVaR 95% diario (%)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2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2.46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3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2.34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4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2.34</w:t>
            </w:r>
          </w:p>
        </w:tc>
      </w:tr>
      <w:tr w:rsidR="00FB7436" w14:paraId="1E8373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6" w14:textId="77777777" w:rsidR="00FB7436" w:rsidRDefault="00000000">
            <w:r>
              <w:rPr>
                <w:b/>
                <w:bCs/>
                <w:sz w:val="18"/>
                <w:szCs w:val="18"/>
              </w:rPr>
              <w:t>CVaR 99% diario (%)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7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4.03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8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3.81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37399" w14:textId="77777777" w:rsidR="00FB7436" w:rsidRDefault="00000000">
            <w:pPr>
              <w:jc w:val="center"/>
            </w:pPr>
            <w:r>
              <w:rPr>
                <w:sz w:val="18"/>
                <w:szCs w:val="18"/>
              </w:rPr>
              <w:t>3.81</w:t>
            </w:r>
          </w:p>
        </w:tc>
      </w:tr>
    </w:tbl>
    <w:p w14:paraId="1E83739B" w14:textId="77777777" w:rsidR="00FB7436" w:rsidRDefault="00FB7436">
      <w:pPr>
        <w:spacing w:after="120"/>
      </w:pPr>
    </w:p>
    <w:p w14:paraId="1E83739C" w14:textId="77777777" w:rsidR="00FB7436" w:rsidRDefault="00000000">
      <w:pPr>
        <w:spacing w:after="120"/>
      </w:pPr>
      <w:r>
        <w:t>El portfolio de EP/q-EP supera al benchmark en retorno esperado (+73 bps anuales), con menor volatilidad (-79 bps) y mejor Sharpe (0.327 vs 0.270). El CVaR 95% también mejora (2.34% vs 2.46%).</w:t>
      </w:r>
    </w:p>
    <w:sectPr w:rsidR="00FB7436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115C8"/>
    <w:multiLevelType w:val="hybridMultilevel"/>
    <w:tmpl w:val="1946F9BE"/>
    <w:lvl w:ilvl="0" w:tplc="97E828E8">
      <w:start w:val="1"/>
      <w:numFmt w:val="bullet"/>
      <w:lvlText w:val="●"/>
      <w:lvlJc w:val="left"/>
      <w:pPr>
        <w:ind w:left="720" w:hanging="360"/>
      </w:pPr>
    </w:lvl>
    <w:lvl w:ilvl="1" w:tplc="BAA866BE">
      <w:start w:val="1"/>
      <w:numFmt w:val="bullet"/>
      <w:lvlText w:val="○"/>
      <w:lvlJc w:val="left"/>
      <w:pPr>
        <w:ind w:left="1440" w:hanging="360"/>
      </w:pPr>
    </w:lvl>
    <w:lvl w:ilvl="2" w:tplc="10947220">
      <w:start w:val="1"/>
      <w:numFmt w:val="bullet"/>
      <w:lvlText w:val="■"/>
      <w:lvlJc w:val="left"/>
      <w:pPr>
        <w:ind w:left="2160" w:hanging="360"/>
      </w:pPr>
    </w:lvl>
    <w:lvl w:ilvl="3" w:tplc="CC069766">
      <w:start w:val="1"/>
      <w:numFmt w:val="bullet"/>
      <w:lvlText w:val="●"/>
      <w:lvlJc w:val="left"/>
      <w:pPr>
        <w:ind w:left="2880" w:hanging="360"/>
      </w:pPr>
    </w:lvl>
    <w:lvl w:ilvl="4" w:tplc="92240D8C">
      <w:start w:val="1"/>
      <w:numFmt w:val="bullet"/>
      <w:lvlText w:val="○"/>
      <w:lvlJc w:val="left"/>
      <w:pPr>
        <w:ind w:left="3600" w:hanging="360"/>
      </w:pPr>
    </w:lvl>
    <w:lvl w:ilvl="5" w:tplc="093C7FA4">
      <w:start w:val="1"/>
      <w:numFmt w:val="bullet"/>
      <w:lvlText w:val="■"/>
      <w:lvlJc w:val="left"/>
      <w:pPr>
        <w:ind w:left="4320" w:hanging="360"/>
      </w:pPr>
    </w:lvl>
    <w:lvl w:ilvl="6" w:tplc="209C5648">
      <w:start w:val="1"/>
      <w:numFmt w:val="bullet"/>
      <w:lvlText w:val="●"/>
      <w:lvlJc w:val="left"/>
      <w:pPr>
        <w:ind w:left="5040" w:hanging="360"/>
      </w:pPr>
    </w:lvl>
    <w:lvl w:ilvl="7" w:tplc="58321314">
      <w:start w:val="1"/>
      <w:numFmt w:val="bullet"/>
      <w:lvlText w:val="●"/>
      <w:lvlJc w:val="left"/>
      <w:pPr>
        <w:ind w:left="5760" w:hanging="360"/>
      </w:pPr>
    </w:lvl>
    <w:lvl w:ilvl="8" w:tplc="5F26B88C">
      <w:start w:val="1"/>
      <w:numFmt w:val="bullet"/>
      <w:lvlText w:val="●"/>
      <w:lvlJc w:val="left"/>
      <w:pPr>
        <w:ind w:left="6480" w:hanging="360"/>
      </w:pPr>
    </w:lvl>
  </w:abstractNum>
  <w:num w:numId="1" w16cid:durableId="106628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436"/>
    <w:rsid w:val="001B41F5"/>
    <w:rsid w:val="00224DB7"/>
    <w:rsid w:val="005E6A47"/>
    <w:rsid w:val="00E65375"/>
    <w:rsid w:val="00FB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72A5"/>
  <w15:docId w15:val="{6312AB8C-9ADC-4874-AE07-68BF5F26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554</Words>
  <Characters>2667</Characters>
  <Application>Microsoft Office Word</Application>
  <DocSecurity>0</DocSecurity>
  <Lines>242</Lines>
  <Paragraphs>230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Corvalan</cp:lastModifiedBy>
  <cp:revision>3</cp:revision>
  <dcterms:created xsi:type="dcterms:W3CDTF">2026-03-30T15:03:00Z</dcterms:created>
  <dcterms:modified xsi:type="dcterms:W3CDTF">2026-04-06T17:37:00Z</dcterms:modified>
</cp:coreProperties>
</file>