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28724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="00596ABD" w:rsidRPr="00C241D8">
              <w:rPr>
                <w:rStyle w:val="Hyperlink"/>
                <w:rFonts w:cstheme="minorHAnsi"/>
                <w:noProof/>
              </w:rPr>
              <w:t>Resumo Executivo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="00596ABD" w:rsidRPr="00C241D8">
              <w:rPr>
                <w:rStyle w:val="Hyperlink"/>
                <w:rFonts w:cstheme="minorHAnsi"/>
                <w:noProof/>
              </w:rPr>
              <w:t>Entidades envolvidas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="00596ABD" w:rsidRPr="00C241D8">
              <w:rPr>
                <w:rStyle w:val="Hyperlink"/>
                <w:rFonts w:cstheme="minorHAnsi"/>
                <w:noProof/>
              </w:rPr>
              <w:t>Sistemas / Interfaces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="00596ABD" w:rsidRPr="00C241D8">
              <w:rPr>
                <w:rStyle w:val="Hyperlink"/>
                <w:rFonts w:cstheme="minorHAnsi"/>
                <w:noProof/>
              </w:rPr>
              <w:t>Tecnologias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="00596ABD" w:rsidRPr="00C241D8">
              <w:rPr>
                <w:rStyle w:val="Hyperlink"/>
                <w:rFonts w:cstheme="minorHAnsi"/>
                <w:noProof/>
              </w:rPr>
              <w:t>Documentação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="00596ABD" w:rsidRPr="00C241D8">
              <w:rPr>
                <w:rStyle w:val="Hyperlink"/>
                <w:rFonts w:cstheme="minorHAnsi"/>
                <w:noProof/>
              </w:rPr>
              <w:t>Legado (2018- 2021)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="00596ABD" w:rsidRPr="00C241D8">
              <w:rPr>
                <w:rStyle w:val="Hyperlink"/>
                <w:rFonts w:cstheme="minorHAnsi"/>
                <w:noProof/>
              </w:rPr>
              <w:t>Atualização (2021-)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="00596ABD" w:rsidRPr="00C241D8">
              <w:rPr>
                <w:rStyle w:val="Hyperlink"/>
                <w:rFonts w:cstheme="minorHAnsi"/>
                <w:noProof/>
              </w:rPr>
              <w:t>Organização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="00596ABD" w:rsidRPr="00C241D8">
              <w:rPr>
                <w:rStyle w:val="Hyperlink"/>
                <w:rFonts w:cstheme="minorHAnsi"/>
                <w:noProof/>
              </w:rPr>
              <w:t>Tarefas de Análise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="00596ABD" w:rsidRPr="00C241D8">
              <w:rPr>
                <w:rStyle w:val="Hyperlink"/>
                <w:rFonts w:cstheme="minorHAnsi"/>
                <w:noProof/>
              </w:rPr>
              <w:t>Tarefas de Projeto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="00596ABD"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="00596ABD" w:rsidRPr="00C241D8">
              <w:rPr>
                <w:rStyle w:val="Hyperlink"/>
                <w:rFonts w:cstheme="minorHAnsi"/>
                <w:noProof/>
              </w:rPr>
              <w:t>Tarefas de Gerência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287246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="00596ABD" w:rsidRPr="00C241D8">
              <w:rPr>
                <w:rStyle w:val="Hyperlink"/>
                <w:rFonts w:cstheme="minorHAnsi"/>
                <w:noProof/>
              </w:rPr>
              <w:t>Compliance do 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287246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>
        <w:rPr>
          <w:rFonts w:asciiTheme="minorHAnsi" w:hAnsiTheme="minorHAnsi" w:cstheme="minorHAnsi"/>
        </w:rPr>
        <w:t xml:space="preserve">: construído em 2018, migrou a empresa </w:t>
      </w:r>
      <w:r w:rsidR="00532116">
        <w:rPr>
          <w:rFonts w:asciiTheme="minorHAnsi" w:hAnsiTheme="minorHAnsi" w:cstheme="minorHAnsi"/>
        </w:rPr>
        <w:t xml:space="preserve">de WEB FORMS </w:t>
      </w:r>
      <w:r w:rsidR="00684524">
        <w:rPr>
          <w:rFonts w:asciiTheme="minorHAnsi" w:hAnsiTheme="minorHAnsi" w:cstheme="minorHAnsi"/>
        </w:rPr>
        <w:t xml:space="preserve">(2009 – 2018) </w:t>
      </w:r>
      <w:r>
        <w:rPr>
          <w:rFonts w:asciiTheme="minorHAnsi" w:hAnsiTheme="minorHAnsi" w:cstheme="minorHAnsi"/>
        </w:rPr>
        <w:t>para API / Angular / React</w:t>
      </w:r>
      <w:r w:rsidR="00684524">
        <w:rPr>
          <w:rFonts w:asciiTheme="minorHAnsi" w:hAnsiTheme="minorHAnsi" w:cstheme="minorHAnsi"/>
        </w:rPr>
        <w:t xml:space="preserve"> e banco SQL Server</w:t>
      </w:r>
      <w:r>
        <w:rPr>
          <w:rFonts w:asciiTheme="minorHAnsi" w:hAnsiTheme="minorHAnsi" w:cstheme="minorHAnsi"/>
        </w:rPr>
        <w:t>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(2018- 2021)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de .NET Core 2.2 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de DA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F73E94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662430" cy="1852295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57139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 xml:space="preserve"> – arquivos de projeto, detalhando ações no software;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Features </w:t>
      </w:r>
      <w:r>
        <w:rPr>
          <w:rFonts w:asciiTheme="minorHAnsi" w:hAnsiTheme="minorHAnsi" w:cstheme="minorHAnsi"/>
        </w:rPr>
        <w:t>– arquivos de requisitos,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4.Maturidade</w:t>
      </w:r>
      <w:r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5.Projeto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6.Planejamento</w:t>
      </w:r>
      <w:r>
        <w:rPr>
          <w:rFonts w:asciiTheme="minorHAnsi" w:hAnsiTheme="minorHAnsi" w:cstheme="minorHAnsi"/>
        </w:rPr>
        <w:t xml:space="preserve"> – </w:t>
      </w:r>
      <w:r w:rsidR="00BB769B">
        <w:rPr>
          <w:rFonts w:asciiTheme="minorHAnsi" w:hAnsiTheme="minorHAnsi" w:cstheme="minorHAnsi"/>
        </w:rPr>
        <w:t>mapa de tarefas e as features (requisitos), assim como orçamento de complexidade, impacto e riscos conhecidos das operações</w:t>
      </w:r>
      <w:r>
        <w:rPr>
          <w:rFonts w:asciiTheme="minorHAnsi" w:hAnsiTheme="minorHAnsi" w:cstheme="minorHAnsi"/>
        </w:rPr>
        <w:t>;</w:t>
      </w:r>
      <w:r>
        <w:rPr>
          <w:rFonts w:asciiTheme="minorHAnsi" w:hAnsiTheme="minorHAnsi" w:cstheme="minorHAnsi"/>
        </w:rPr>
        <w:br/>
        <w:t>7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ED26FD">
        <w:rPr>
          <w:rFonts w:asciiTheme="minorHAnsi" w:hAnsiTheme="minorHAnsi" w:cstheme="minorHAnsi"/>
          <w:b/>
        </w:rPr>
        <w:t>features</w:t>
      </w:r>
      <w:r w:rsidR="00457139">
        <w:rPr>
          <w:rFonts w:asciiTheme="minorHAnsi" w:hAnsiTheme="minorHAnsi" w:cstheme="minorHAnsi"/>
        </w:rPr>
        <w:t>, e cont</w:t>
      </w:r>
      <w:r w:rsidR="00457139">
        <w:rPr>
          <w:rFonts w:asciiTheme="minorHAnsi" w:hAnsiTheme="minorHAnsi" w:cstheme="minorHAnsi"/>
          <w:lang w:val="en-US"/>
        </w:rPr>
        <w:t>ém: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B5342B">
        <w:rPr>
          <w:rFonts w:asciiTheme="minorHAnsi" w:hAnsiTheme="minorHAnsi" w:cstheme="minorHAnsi"/>
        </w:rPr>
        <w:t xml:space="preserve">Documentação do projeto é o projeto de software a ser realizado pela equipe de desenvolvimento. </w:t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>
        <w:rPr>
          <w:rFonts w:asciiTheme="minorHAnsi" w:hAnsiTheme="minorHAnsi" w:cstheme="minorHAnsi"/>
        </w:rPr>
        <w:t>);</w:t>
      </w:r>
    </w:p>
    <w:p w:rsidR="002F33BF" w:rsidRDefault="002F33BF" w:rsidP="002F33B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2F33BF">
        <w:rPr>
          <w:rFonts w:asciiTheme="minorHAnsi" w:hAnsiTheme="minorHAnsi" w:cstheme="minorHAnsi"/>
        </w:rPr>
        <w:t>s</w:t>
      </w:r>
      <w:r w:rsidR="00672FE0">
        <w:rPr>
          <w:rFonts w:asciiTheme="minorHAnsi" w:hAnsiTheme="minorHAnsi" w:cstheme="minorHAnsi"/>
        </w:rPr>
        <w:t xml:space="preserve"> / impacto</w:t>
      </w:r>
      <w:r w:rsidR="002F33BF">
        <w:rPr>
          <w:rFonts w:asciiTheme="minorHAnsi" w:hAnsiTheme="minorHAnsi" w:cstheme="minorHAnsi"/>
        </w:rPr>
        <w:t>s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90%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CB0" w:rsidRDefault="00670CB0" w:rsidP="001A7EC4">
      <w:pPr>
        <w:spacing w:after="0" w:line="240" w:lineRule="auto"/>
      </w:pPr>
      <w:r>
        <w:separator/>
      </w:r>
    </w:p>
  </w:endnote>
  <w:endnote w:type="continuationSeparator" w:id="1">
    <w:p w:rsidR="00670CB0" w:rsidRDefault="00670CB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CB0" w:rsidRDefault="00670CB0" w:rsidP="001A7EC4">
      <w:pPr>
        <w:spacing w:after="0" w:line="240" w:lineRule="auto"/>
      </w:pPr>
      <w:r>
        <w:separator/>
      </w:r>
    </w:p>
  </w:footnote>
  <w:footnote w:type="continuationSeparator" w:id="1">
    <w:p w:rsidR="00670CB0" w:rsidRDefault="00670CB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53</cp:revision>
  <dcterms:created xsi:type="dcterms:W3CDTF">2019-06-07T14:25:00Z</dcterms:created>
  <dcterms:modified xsi:type="dcterms:W3CDTF">2021-03-17T02:37:00Z</dcterms:modified>
</cp:coreProperties>
</file>