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120"/>
      </w:pPr>
      <w:r>
        <w:rPr>
          <w:rFonts w:ascii="Calibri" w:hAnsi="Calibri" w:eastAsia="Calibri"/>
          <w:b/>
          <w:color w:val="2E74B5"/>
          <w:sz w:val="20"/>
        </w:rPr>
        <w:t>INFORME DE RESULTADOS</w:t>
      </w:r>
    </w:p>
    <w:p>
      <w:pPr>
        <w:pStyle w:val="Title"/>
      </w:pPr>
      <w:r>
        <w:t>Muestreo aplicado en R</w:t>
      </w:r>
    </w:p>
    <w:p>
      <w:pPr>
        <w:pStyle w:val="Subtitle"/>
      </w:pPr>
      <w:r>
        <w:t>Base de datos de tuberculosis | Muestreo aleatorio simple y estratificado</w:t>
      </w:r>
    </w:p>
    <w:p>
      <w:pPr>
        <w:spacing w:before="0" w:after="60"/>
      </w:pPr>
      <w:r>
        <w:rPr>
          <w:rFonts w:ascii="Calibri" w:hAnsi="Calibri" w:eastAsia="Calibri"/>
          <w:b/>
          <w:color w:val="0B2545"/>
          <w:sz w:val="22"/>
        </w:rPr>
        <w:t xml:space="preserve">Curso: </w:t>
      </w:r>
      <w:r>
        <w:rPr>
          <w:rFonts w:ascii="Calibri" w:hAnsi="Calibri" w:eastAsia="Calibri"/>
          <w:sz w:val="22"/>
        </w:rPr>
        <w:t>Software para Análisis e Interpretación de la Información para la Investigación Científica (EIC401)</w:t>
      </w:r>
    </w:p>
    <w:p>
      <w:pPr>
        <w:spacing w:before="0" w:after="60"/>
      </w:pPr>
      <w:r>
        <w:rPr>
          <w:rFonts w:ascii="Calibri" w:hAnsi="Calibri" w:eastAsia="Calibri"/>
          <w:b/>
          <w:color w:val="0B2545"/>
          <w:sz w:val="22"/>
        </w:rPr>
        <w:t xml:space="preserve">Docente: </w:t>
      </w:r>
      <w:r>
        <w:rPr>
          <w:rFonts w:ascii="Calibri" w:hAnsi="Calibri" w:eastAsia="Calibri"/>
          <w:sz w:val="22"/>
        </w:rPr>
        <w:t>M.A. Lic. Jaime Andre Chocó Cedillos</w:t>
      </w:r>
    </w:p>
    <w:p>
      <w:pPr>
        <w:spacing w:before="0" w:after="60"/>
      </w:pPr>
      <w:r>
        <w:rPr>
          <w:rFonts w:ascii="Calibri" w:hAnsi="Calibri" w:eastAsia="Calibri"/>
          <w:b/>
          <w:color w:val="0B2545"/>
          <w:sz w:val="22"/>
        </w:rPr>
        <w:t xml:space="preserve">Archivo analizado: </w:t>
      </w:r>
      <w:r>
        <w:rPr>
          <w:rFonts w:ascii="Calibri" w:hAnsi="Calibri" w:eastAsia="Calibri"/>
          <w:sz w:val="22"/>
        </w:rPr>
        <w:t>database_tb_limpia.xlsx</w:t>
      </w:r>
    </w:p>
    <w:p>
      <w:pPr>
        <w:spacing w:before="0" w:after="60"/>
      </w:pPr>
      <w:r>
        <w:rPr>
          <w:rFonts w:ascii="Calibri" w:hAnsi="Calibri" w:eastAsia="Calibri"/>
          <w:b/>
          <w:color w:val="0B2545"/>
          <w:sz w:val="22"/>
        </w:rPr>
        <w:t xml:space="preserve">Población: </w:t>
      </w:r>
      <w:r>
        <w:rPr>
          <w:rFonts w:ascii="Calibri" w:hAnsi="Calibri" w:eastAsia="Calibri"/>
          <w:sz w:val="22"/>
        </w:rPr>
        <w:t>N = 3,104 pacientes</w:t>
      </w:r>
    </w:p>
    <w:p>
      <w:pPr>
        <w:spacing w:before="0" w:after="60"/>
      </w:pPr>
      <w:r>
        <w:rPr>
          <w:rFonts w:ascii="Calibri" w:hAnsi="Calibri" w:eastAsia="Calibri"/>
          <w:b/>
          <w:color w:val="0B2545"/>
          <w:sz w:val="22"/>
        </w:rPr>
        <w:t xml:space="preserve">Semilla: </w:t>
      </w:r>
      <w:r>
        <w:rPr>
          <w:rFonts w:ascii="Calibri" w:hAnsi="Calibri" w:eastAsia="Calibri"/>
          <w:sz w:val="22"/>
        </w:rPr>
        <w:t>set.seed(2026)</w:t>
      </w:r>
    </w:p>
    <w:p>
      <w:pPr>
        <w:spacing w:before="0" w:after="60"/>
      </w:pPr>
      <w:r>
        <w:rPr>
          <w:rFonts w:ascii="Calibri" w:hAnsi="Calibri" w:eastAsia="Calibri"/>
          <w:b/>
          <w:color w:val="0B2545"/>
          <w:sz w:val="22"/>
        </w:rPr>
        <w:t xml:space="preserve">Tamaño de cada muestra: </w:t>
      </w:r>
      <w:r>
        <w:rPr>
          <w:rFonts w:ascii="Calibri" w:hAnsi="Calibri" w:eastAsia="Calibri"/>
          <w:sz w:val="22"/>
        </w:rPr>
        <w:t>n = 300</w:t>
      </w:r>
    </w:p>
    <w:p>
      <w:pPr>
        <w:spacing w:before="0" w:after="60"/>
      </w:pPr>
      <w:r>
        <w:rPr>
          <w:rFonts w:ascii="Calibri" w:hAnsi="Calibri" w:eastAsia="Calibri"/>
          <w:b/>
          <w:color w:val="0B2545"/>
          <w:sz w:val="22"/>
        </w:rPr>
        <w:t xml:space="preserve">Fecha: </w:t>
      </w:r>
      <w:r>
        <w:rPr>
          <w:rFonts w:ascii="Calibri" w:hAnsi="Calibri" w:eastAsia="Calibri"/>
          <w:sz w:val="22"/>
        </w:rPr>
        <w:t>27 de agosto de 2026</w:t>
      </w:r>
    </w:p>
    <w:p>
      <w:pPr>
        <w:pStyle w:val="Resultado"/>
        <w:shd w:fill="E8F1F8" w:val="clear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</w:rPr>
        <w:t xml:space="preserve">Criterio de cálculo. </w:t>
      </w:r>
      <w:r>
        <w:rPr>
          <w:rFonts w:ascii="Calibri" w:hAnsi="Calibri" w:eastAsia="Calibri"/>
        </w:rPr>
        <w:t>Las respuestas se calcularon únicamente con la muestra correspondiente. Las medias y medianas excluyen NA cuando el enunciado lo indica; los porcentajes de presencia usan como denominador el total de la muestra o del estrato, según corresponda.</w:t>
      </w:r>
    </w:p>
    <w:p>
      <w:pPr>
        <w:spacing w:before="240" w:after="0"/>
      </w:pPr>
      <w:r>
        <w:rPr>
          <w:rFonts w:ascii="Calibri" w:hAnsi="Calibri" w:eastAsia="Calibri"/>
          <w:b/>
          <w:color w:val="0B2545"/>
        </w:rPr>
        <w:t xml:space="preserve">Reproducibilidad: </w:t>
      </w:r>
      <w:r>
        <w:rPr>
          <w:rFonts w:ascii="Calibri" w:hAnsi="Calibri" w:eastAsia="Calibri"/>
          <w:color w:val="5E6872"/>
        </w:rPr>
        <w:t>R 4.4.2, readxl 1.4.5 y dplyr 1.1.4.</w:t>
      </w:r>
    </w:p>
    <w:p>
      <w:r>
        <w:br w:type="page"/>
      </w:r>
    </w:p>
    <w:p>
      <w:pPr>
        <w:pStyle w:val="Heading1"/>
      </w:pPr>
      <w:r>
        <w:t>Ejercicio 1 - Muestreo aleatorio simple</w:t>
      </w:r>
    </w:p>
    <w:p>
      <w:pPr>
        <w:spacing w:after="120"/>
      </w:pPr>
      <w:r>
        <w:rPr>
          <w:rFonts w:ascii="Calibri" w:hAnsi="Calibri" w:eastAsia="Calibri"/>
          <w:b/>
          <w:color w:val="0B2545"/>
          <w:sz w:val="22"/>
        </w:rPr>
        <w:t>Código de muestreo solicitado</w:t>
      </w:r>
    </w:p>
    <w:p>
      <w:pPr>
        <w:pStyle w:val="CodigoR"/>
        <w:shd w:fill="F4F6F9" w:val="clear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library(readxl)</w:t>
        <w:br/>
        <w:t>library(dplyr)</w:t>
        <w:br/>
        <w:t>datos &lt;- read_excel("database_tb_limpia.xlsx", sheet = "datos", guess_max = 5000)</w:t>
        <w:br/>
        <w:t>datos &lt;- as.data.frame(datos)</w:t>
        <w:br/>
        <w:t>set.seed(2026)</w:t>
        <w:br/>
        <w:t>n1 &lt;- 300</w:t>
        <w:br/>
        <w:t>indices1 &lt;- sample(1:nrow(datos), n1)</w:t>
        <w:br/>
        <w:t>muestra1 &lt;- datos[indices1, ]</w:t>
      </w:r>
    </w:p>
    <w:p>
      <w:pPr>
        <w:pStyle w:val="Heading2"/>
      </w:pPr>
      <w:r>
        <w:t>1. Tamaño de la muestra y porcentaje de la base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nrow(muestra1)</w:t>
        <w:br/>
        <w:t>100 * nrow(muestra1) / nrow(datos)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muestra contiene 300 observaciones, equivalentes al 9.66% de los 3,104 registros de la base.</w:t>
      </w:r>
    </w:p>
    <w:p>
      <w:pPr>
        <w:pStyle w:val="Heading2"/>
      </w:pPr>
      <w:r>
        <w:t>2. Distribución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table(muestra1$sexo)</w:t>
        <w:br/>
        <w:t>100 * sum(muestra1$sexo == "Masculino") / nrow(muestra1)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Se seleccionaron 190 hombres y 110 mujeres. Los hombres representan el 63.33% de la muestra.</w:t>
      </w:r>
    </w:p>
    <w:p>
      <w:pPr>
        <w:pStyle w:val="Heading2"/>
      </w:pPr>
      <w:r>
        <w:t>3. Edad al diagnóstico: media, mediana y valores faltantes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mean(muestra1$edad_al_diagnostico, na.rm = TRUE)</w:t>
        <w:br/>
        <w:t>median(muestra1$edad_al_diagnostico, na.rm = TRUE)</w:t>
        <w:br/>
        <w:t>sum(is.na(muestra1$edad_al_diagnostico))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edad media al diagnóstico es 36.35 años y la mediana es 34.00 años. La variable presenta 20 valores faltantes.</w:t>
      </w:r>
    </w:p>
    <w:p>
      <w:pPr>
        <w:pStyle w:val="Heading2"/>
      </w:pPr>
      <w:r>
        <w:t>4. Porcentaje de pacientes fallecidos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100 * sum(muestra1$pronostico == "Fallecido") / nrow(muestra1)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Fallecieron 65 pacientes, lo que corresponde al 21.67% de la muestra.</w:t>
      </w:r>
    </w:p>
    <w:p>
      <w:pPr>
        <w:pStyle w:val="Heading2"/>
      </w:pPr>
      <w:r>
        <w:t>5. Categoría más frecuente de edad_rangos y datos faltantes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tabla_edad &lt;- table(muestra1$edad_rangos)</w:t>
        <w:br/>
        <w:t>names(which.max(tabla_edad))</w:t>
        <w:br/>
        <w:t>max(tabla_edad)</w:t>
        <w:br/>
        <w:t>sum(is.na(muestra1$edad_rangos))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categoría más frecuente es “18 a 35 años”, con 121 pacientes. Hay 20 valores NA en edad_rangos (280 datos disponibles).</w:t>
      </w:r>
    </w:p>
    <w:p>
      <w:pPr>
        <w:pStyle w:val="Heading2"/>
      </w:pPr>
      <w:r>
        <w:t>6. Porcentaje con coinfección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100 * sum(muestra1$coinfeccion == "Sí") / nrow(muestra1)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Presentan coinfección 158 pacientes, equivalentes al 52.67% de la muestra.</w:t>
      </w:r>
    </w:p>
    <w:p>
      <w:pPr>
        <w:pStyle w:val="Heading2"/>
      </w:pPr>
      <w:r>
        <w:t>7. Diagnóstico de VIH positivo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n_vih &lt;- sum(muestra1$dx_vih == "Sí")</w:t>
        <w:br/>
        <w:t>c(n = n_vih, porcentaje = 100 * n_vih / nrow(muestra1))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Tienen diagnóstico de VIH positivo 158 pacientes, equivalentes al 52.67%.</w:t>
      </w:r>
    </w:p>
    <w:p>
      <w:pPr>
        <w:pStyle w:val="Heading2"/>
      </w:pPr>
      <w:r>
        <w:t>8. Clasificación según tipo_de_tb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tabla_tipo &lt;- table(muestra1$tipo_de_tb)</w:t>
        <w:br/>
        <w:t>tabla_tipo</w:t>
        <w:br/>
        <w:t>names(which.max(tabla_tipo))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Extrapulmonar: 141 casos; Pulmonar: 127; Profilaxis: 32. La categoría más frecuente es Extrapulmonar, con 141 casos.</w:t>
      </w:r>
    </w:p>
    <w:p>
      <w:pPr>
        <w:pStyle w:val="Heading2"/>
      </w:pPr>
      <w:r>
        <w:t>9. Valores disponibles y media de cd4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sum(!is.na(muestra1$cd4))</w:t>
        <w:br/>
        <w:t>mean(muestra1$cd4, na.rm = TRUE)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Hay 84 valores disponibles de cd4. Su media es 140.99 células/ml.</w:t>
      </w:r>
    </w:p>
    <w:p>
      <w:pPr>
        <w:pStyle w:val="Heading2"/>
      </w:pPr>
      <w:r>
        <w:t>10. Año con mayor número de pacientes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tabla_anio &lt;- table(muestra1$anio)</w:t>
        <w:br/>
        <w:t>tabla_anio</w:t>
        <w:br/>
        <w:t>names(which.max(tabla_anio))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El año con mayor representación es 2014, con 45 pacientes.</w:t>
      </w:r>
    </w:p>
    <w:p>
      <w:pPr>
        <w:pStyle w:val="Heading2"/>
      </w:pPr>
      <w:r>
        <w:t>11. Pacientes con seguimiento Activo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sum(!is.na(muestra1$seguimiento))</w:t>
        <w:br/>
        <w:t>sum(muestra1$seguimiento == "Activo", na.rm = TRUE)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Los 300 pacientes tienen seguimiento registrado y 164 se encuentran en estado Activo.</w:t>
      </w:r>
    </w:p>
    <w:p>
      <w:pPr>
        <w:pStyle w:val="Heading2"/>
      </w:pPr>
      <w:r>
        <w:t>12. Baciloscopia positiva y valores faltantes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n_pos &lt;- sum(muestra1$baciloscopia == "Sí", na.rm = TRUE)</w:t>
        <w:br/>
        <w:t>100 * n_pos / nrow(muestra1)</w:t>
        <w:br/>
        <w:t>sum(is.na(muestra1$baciloscopia))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baciloscopia es positiva en 230 pacientes, equivalentes al 76.67% de la muestra. Hay 21 valores NA.</w:t>
      </w:r>
    </w:p>
    <w:p>
      <w:pPr>
        <w:pStyle w:val="Heading2"/>
      </w:pPr>
      <w:r>
        <w:t>13. Contacto con un caso de tuberculosis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n_contacto &lt;- sum(muestra1$conctacto == "Sí", na.rm = TRUE)</w:t>
        <w:br/>
        <w:t>100 * n_contacto / nrow(muestra1)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Nueve pacientes reportan contacto con un caso de tuberculosis, equivalentes al 3.00% de la muestra. La variable se llama conctacto en la base.</w:t>
      </w:r>
    </w:p>
    <w:p>
      <w:pPr>
        <w:pStyle w:val="Heading2"/>
      </w:pPr>
      <w:r>
        <w:t>14. Media y valores faltantes de meses_diagnostico_vih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mean(muestra1$meses_diagnostico_vih, na.rm = TRUE)</w:t>
        <w:br/>
        <w:t>sum(is.na(muestra1$meses_diagnostico_vih))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media es 56.66 meses, calculada con los valores disponibles. La variable contiene 18 valores NA.</w:t>
      </w:r>
    </w:p>
    <w:p>
      <w:pPr>
        <w:pStyle w:val="Heading2"/>
      </w:pPr>
      <w:r>
        <w:t>15. Tabla de frecuencias de cultivo e interpretación</w:t>
      </w:r>
    </w:p>
    <w:p>
      <w:pPr>
        <w:pStyle w:val="CodigoR"/>
        <w:shd w:fill="F4F6F9" w:val="clear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tabla_cultivo &lt;- table(muestra1$cultivo, useNA = "ifany")</w:t>
        <w:br/>
        <w:t>prop.table(tabla_cultivo)</w:t>
        <w:br/>
        <w:t>100 * prop.table(tabla_cultivo)</w:t>
      </w:r>
    </w:p>
    <w:p>
      <w:pPr>
        <w:pStyle w:val="Resultado"/>
        <w:shd w:fill="E8F1F8" w:val="clear"/>
        <w:keepNext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El resultado Positivo es el más frecuente (155; 51.67%), seguido de 84 valores faltantes (28.00%) y 61 resultados Negativos (20.33%). En consecuencia, poco más de la mitad de la muestra tiene cultivo positivo; sin embargo, el 28.00% sin dato debe considerarse al interpretar la distribución.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880"/>
        <w:gridCol w:w="1800"/>
        <w:gridCol w:w="2160"/>
        <w:gridCol w:w="2520"/>
      </w:tblGrid>
      <w:tr>
        <w:trPr>
          <w:tblHeader w:val="true"/>
        </w:trPr>
        <w:tc>
          <w:tcPr>
            <w:tcW w:type="dxa" w:w="2880"/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Categoría</w:t>
            </w:r>
          </w:p>
        </w:tc>
        <w:tc>
          <w:tcPr>
            <w:tcW w:type="dxa" w:w="1800"/>
            <w:vAlign w:val="center"/>
            <w:shd w:fill="F2F4F7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Frecuencia</w:t>
            </w:r>
          </w:p>
        </w:tc>
        <w:tc>
          <w:tcPr>
            <w:tcW w:type="dxa" w:w="2160"/>
            <w:vAlign w:val="center"/>
            <w:shd w:fill="F2F4F7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Proporción</w:t>
            </w:r>
          </w:p>
        </w:tc>
        <w:tc>
          <w:tcPr>
            <w:tcW w:type="dxa" w:w="2520"/>
            <w:vAlign w:val="center"/>
            <w:shd w:fill="F2F4F7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Porcentaje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sz w:val="19"/>
              </w:rPr>
              <w:t>Negativo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61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0.2033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20.33%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sz w:val="19"/>
              </w:rPr>
              <w:t>Positivo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155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0.5167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51.67%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sz w:val="19"/>
              </w:rPr>
              <w:t>NA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84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0.2800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28.00%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sz w:val="19"/>
              </w:rPr>
              <w:t>Total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300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1.0000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100.00%</w:t>
            </w:r>
          </w:p>
        </w:tc>
      </w:tr>
    </w:tbl>
    <w:p>
      <w:pPr>
        <w:spacing w:before="80" w:after="80"/>
      </w:pPr>
      <w:r>
        <w:rPr>
          <w:rFonts w:ascii="Calibri" w:hAnsi="Calibri" w:eastAsia="Calibri"/>
          <w:i/>
          <w:color w:val="5E6872"/>
          <w:sz w:val="18"/>
        </w:rPr>
        <w:t>Fuente: cálculo propio con muestra1 (n = 300), set.seed(2026).</w:t>
      </w:r>
    </w:p>
    <w:p>
      <w:r>
        <w:br w:type="page"/>
      </w:r>
    </w:p>
    <w:p>
      <w:pPr>
        <w:pStyle w:val="Heading1"/>
      </w:pPr>
      <w:r>
        <w:t>Ejercicio 2 - Muestreo estratificado por sexo</w:t>
      </w:r>
    </w:p>
    <w:p>
      <w:pPr>
        <w:spacing w:after="120"/>
      </w:pPr>
      <w:r>
        <w:rPr>
          <w:rFonts w:ascii="Calibri" w:hAnsi="Calibri" w:eastAsia="Calibri"/>
          <w:b/>
          <w:color w:val="0B2545"/>
          <w:sz w:val="22"/>
        </w:rPr>
        <w:t>Código de muestreo solicitado</w:t>
      </w:r>
    </w:p>
    <w:p>
      <w:pPr>
        <w:pStyle w:val="CodigoR"/>
        <w:shd w:fill="F4F6F9" w:val="clear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datos &lt;- read_excel("database_tb_limpia.xlsx", sheet = "datos", guess_max = 5000)</w:t>
        <w:br/>
        <w:t>datos &lt;- as.data.frame(datos)</w:t>
        <w:br/>
        <w:br/>
        <w:t>set.seed(2026)</w:t>
        <w:br/>
        <w:t>n_total &lt;- 300</w:t>
        <w:br/>
        <w:t>prop_masc &lt;- sum(datos$sexo == "Masculino") / nrow(datos)</w:t>
        <w:br/>
        <w:t>n_masc &lt;- round(n_total * prop_masc)</w:t>
        <w:br/>
        <w:t>n_fem &lt;- n_total - n_masc</w:t>
        <w:br/>
        <w:br/>
        <w:t>datos_masc &lt;- datos[datos$sexo == "Masculino", ]</w:t>
        <w:br/>
        <w:t>datos_fem &lt;- datos[datos$sexo == "Femenino", ]</w:t>
        <w:br/>
        <w:br/>
        <w:t>muestra_masc &lt;- datos_masc[sample(1:nrow(datos_masc), n_masc), ]</w:t>
        <w:br/>
        <w:t>muestra_fem &lt;- datos_fem[sample(1:nrow(datos_fem), n_fem), ]</w:t>
        <w:br/>
        <w:t>muestra2 &lt;- rbind(muestra_masc, muestra_fem)</w:t>
      </w:r>
    </w:p>
    <w:p>
      <w:pPr>
        <w:pStyle w:val="Heading2"/>
      </w:pPr>
      <w:r>
        <w:t>1. Composición de la muestra estratificada y verificación proporcional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table(muestra2$sexo)</w:t>
        <w:br/>
        <w:t>100 * prop.table(table(muestra2$sexo))</w:t>
        <w:br/>
        <w:t>100 * prop.table(table(datos$sexo))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muestra contiene 189 hombres (63.00%) y 111 mujeres (37.00%). En la base completa hay 1,960 hombres (63.14%) y 1,144 mujeres (36.86%); por tanto, la asignación es consistente con la proporción poblacional, con la diferencia esperable por redondeo.</w:t>
      </w:r>
    </w:p>
    <w:p>
      <w:pPr>
        <w:pStyle w:val="Heading2"/>
      </w:pPr>
      <w:r>
        <w:t>2. Porcentaje de fallecidos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 &lt;- table(muestra2$sexo, muestra2$pronostico)</w:t>
        <w:br/>
        <w:t>100 * prop.table(tab, margin = 1)[, "Fallecido"]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Falleció el 18.92% de las mujeres (21 de 111) y el 30.16% de los hombres (57 de 189).</w:t>
      </w:r>
    </w:p>
    <w:p>
      <w:pPr>
        <w:pStyle w:val="Heading2"/>
      </w:pPr>
      <w:r>
        <w:t>3. Sexo con mayor porcentaje de fallecidos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pct_fallecidos &lt;- 100 * prop.table(tab, margin = 1)[, "Fallecido"]</w:t>
        <w:br/>
        <w:t>names(which.max(pct_fallecidos))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El porcentaje de fallecidos es mayor en los hombres: 30.16%, frente a 18.92% en las mujeres; la diferencia descriptiva es de 11.24 puntos porcentuales.</w:t>
      </w:r>
    </w:p>
    <w:p>
      <w:pPr>
        <w:pStyle w:val="Heading2"/>
      </w:pPr>
      <w:r>
        <w:t>4. Edad promedio al diagnóstico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aggregate(edad_al_diagnostico ~ sexo, muestra2,</w:t>
        <w:br/>
        <w:t xml:space="preserve">          FUN = function(x) mean(x, na.rm = TRUE))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edad promedio al diagnóstico es 35.80 años en hombres y 33.07 años en mujeres. Se excluyeron los valores NA del cálculo.</w:t>
      </w:r>
    </w:p>
    <w:p>
      <w:pPr>
        <w:pStyle w:val="Heading2"/>
      </w:pPr>
      <w:r>
        <w:t>5. Mediana de la edad al diagnóstico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aggregate(edad_al_diagnostico ~ sexo, muestra2,</w:t>
        <w:br/>
        <w:t xml:space="preserve">          FUN = function(x) median(x, na.rm = TRUE))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mediana es 33 años en hombres y 32 años en mujeres. Por lo tanto, la mediana es mayor en los hombres.</w:t>
      </w:r>
    </w:p>
    <w:p>
      <w:pPr>
        <w:pStyle w:val="Heading2"/>
      </w:pPr>
      <w:r>
        <w:t>6. Diagnóstico de VIH positivo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tab_vih &lt;- table(muestra2$sexo, muestra2$dx_vih)</w:t>
        <w:br/>
        <w:t>100 * prop.table(tab_vih, margin = 1)[, "Sí"]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El 54.50% de los hombres tiene diagnóstico de VIH positivo (103 de 189), frente al 45.95% de las mujeres (51 de 111).</w:t>
      </w:r>
    </w:p>
    <w:p>
      <w:pPr>
        <w:pStyle w:val="Heading2"/>
      </w:pPr>
      <w:r>
        <w:t>7. Tipo de tuberculosis más frecuente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tab_tipo &lt;- table(muestra2$sexo, muestra2$tipo_de_tb)</w:t>
        <w:br/>
        <w:t>apply(tab_tipo, 1, function(x) c(categoria = names(which.max(x)), n = max(x)))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En ambos sexos predomina la tuberculosis Extrapulmonar: 86 casos en hombres y 58 casos en mujeres. En hombres siguen Pulmonar (81) y Profilaxis (22); en mujeres, Pulmonar (38) y Profilaxis (15).</w:t>
      </w:r>
    </w:p>
    <w:p>
      <w:pPr>
        <w:pStyle w:val="Heading2"/>
      </w:pPr>
      <w:r>
        <w:t>8. Porcentaje con coinfección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tab_coinf &lt;- table(muestra2$sexo, muestra2$coinfeccion)</w:t>
        <w:br/>
        <w:t>100 * prop.table(tab_coinf, margin = 1)[, "Sí"]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Presenta coinfección el 45.95% de las mujeres (51 de 111) y el 54.50% de los hombres (103 de 189).</w:t>
      </w:r>
    </w:p>
    <w:p>
      <w:pPr>
        <w:pStyle w:val="Heading2"/>
      </w:pPr>
      <w:r>
        <w:t>9. Comparación del seguimiento Fallecido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tab_seg &lt;- table(muestra2$sexo, muestra2$seguimiento)</w:t>
        <w:br/>
        <w:t>tab_seg[, "Fallecido"]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Hay 57 hombres y 21 mujeres con seguimiento Fallecido. El mayor número corresponde a los hombres.</w:t>
      </w:r>
    </w:p>
    <w:p>
      <w:pPr>
        <w:pStyle w:val="Heading2"/>
      </w:pPr>
      <w:r>
        <w:t>10. Valores NA de edad_rangos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tapply(is.na(muestra2$edad_rangos), muestra2$sexo, sum)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No tienen dato en edad_rangos 12 mujeres y 6 hombres.</w:t>
      </w:r>
    </w:p>
    <w:p>
      <w:r>
        <w:br w:type="page"/>
      </w:r>
    </w:p>
    <w:p>
      <w:pPr>
        <w:pStyle w:val="Heading2"/>
      </w:pPr>
      <w:r>
        <w:t>11. Baciloscopia positiva por sexo</w:t>
      </w:r>
    </w:p>
    <w:p>
      <w:pPr>
        <w:pStyle w:val="CodigoR"/>
        <w:shd w:fill="F4F6F9" w:val="clear"/>
        <w:spacing w:before="16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n_pos &lt;- tapply(muestra2$baciloscopia == "Sí", muestra2$sexo,</w:t>
        <w:br/>
        <w:t xml:space="preserve">                function(x) sum(x, na.rm = TRUE))</w:t>
        <w:br/>
        <w:t>100 * n_pos / table(muestra2$sexo)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baciloscopia es positiva en el 71.43% de los hombres (135 de 189; 16 NA) y en el 70.27% de las mujeres (78 de 111; 14 NA). Los porcentajes usan el total de cada estrato como denominador.</w:t>
      </w:r>
    </w:p>
    <w:p>
      <w:pPr>
        <w:pStyle w:val="Heading2"/>
      </w:pPr>
      <w:r>
        <w:t>12. Media de cd4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muestra2 %&gt;% group_by(sexo) %&gt;%</w:t>
        <w:br/>
        <w:t xml:space="preserve">  summarize(n = sum(!is.na(cd4)), media = mean(cd4, na.rm = TRUE))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La media de cd4 es 138.95 células/ml en mujeres (20 datos disponibles) y 121.53 células/ml en hombres (58 disponibles). La media es mayor en las mujeres.</w:t>
      </w:r>
    </w:p>
    <w:p>
      <w:pPr>
        <w:pStyle w:val="Heading2"/>
      </w:pPr>
      <w:r>
        <w:t>13. Rango de edad con mayor concentración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tab_rango &lt;- table(muestra2$sexo, muestra2$edad_rangos)</w:t>
        <w:br/>
        <w:t>apply(tab_rango, 1, function(x) c(rango = names(which.max(x)), n = max(x)))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En ambos sexos el rango más frecuente es 18 a 35 años: 39 mujeres y 84 hombres.</w:t>
      </w:r>
    </w:p>
    <w:p>
      <w:pPr>
        <w:pStyle w:val="Heading2"/>
      </w:pPr>
      <w:r>
        <w:t>14. Casos de seguimiento Abandono por sexo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tab_seg[, "Abandono"]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Hay 1 caso de Abandono entre las mujeres y 6 entre los hombres.</w:t>
      </w:r>
    </w:p>
    <w:p>
      <w:pPr>
        <w:pStyle w:val="Heading2"/>
      </w:pPr>
      <w:r>
        <w:t>15. Síntesis de diferencias entre hombres y mujeres</w:t>
      </w:r>
    </w:p>
    <w:p>
      <w:pPr>
        <w:pStyle w:val="CodigoR"/>
        <w:shd w:fill="F4F6F9" w:val="clear"/>
        <w:spacing w:before="40"/>
      </w:pPr>
      <w:r>
        <w:rPr>
          <w:rFonts w:ascii="Consolas" w:hAnsi="Consolas" w:eastAsia="Consolas"/>
          <w:color w:val="0B2545"/>
          <w:sz w:val="18"/>
        </w:rPr>
        <w:t># Procedimiento en R</w:t>
        <w:br/>
        <w:t>sprintf("Fallecidos: H %.2f%%, M %.2f%%; abandono: H %d, M %d; CD4: H %.2f, M %.2f",</w:t>
        <w:br/>
        <w:t xml:space="preserve">        30.16, 18.92, 6, 1, 121.53, 138.95)</w:t>
      </w:r>
    </w:p>
    <w:p>
      <w:pPr>
        <w:pStyle w:val="Resultado"/>
        <w:shd w:fill="E8F1F8" w:val="clear"/>
        <w:keepNext w:val="0"/>
        <w:pBdr>
          <w:left w:val="single" w:sz="18" w:space="6" w:color="2E74B5"/>
        </w:pBdr>
      </w:pPr>
      <w:r>
        <w:rPr>
          <w:rFonts w:ascii="Calibri" w:hAnsi="Calibri" w:eastAsia="Calibri"/>
          <w:b/>
          <w:color w:val="0B2545"/>
          <w:sz w:val="22"/>
        </w:rPr>
        <w:t xml:space="preserve">Resultado: </w:t>
      </w:r>
      <w:r>
        <w:rPr>
          <w:rFonts w:ascii="Calibri" w:hAnsi="Calibri" w:eastAsia="Calibri"/>
          <w:sz w:val="22"/>
        </w:rPr>
        <w:t>Los hombres presentaron mayor mortalidad que las mujeres (30.16% frente a 18.92%), con 57 y 21 casos de seguimiento Fallecido, respectivamente. También hubo más abandonos entre los hombres (6 frente a 1) y una media de cd4 menor entre sus datos disponibles (121.53 frente a 138.95 células/ml). La positividad de la baciloscopia fue muy similar (71.43% en hombres y 70.27% en mujeres). En conjunto, la muestra muestra una evolución descriptivamente menos favorable en los hombres, sin que estos resultados demuestren causalidad.</w:t>
      </w:r>
    </w:p>
    <w:p>
      <w:pPr>
        <w:pStyle w:val="Heading1"/>
      </w:pPr>
      <w:r>
        <w:t>Nota final</w:t>
      </w:r>
    </w:p>
    <w:p>
      <w:pPr>
        <w:spacing w:after="120"/>
      </w:pPr>
      <w:r>
        <w:t>Todas las cifras proceden de las muestras generadas con set.seed(2026). El archivo Examen_Muestreo_Resuelto.R contiene el código completo, comentado y ejecutable que reproduce estos resultados.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E68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R">
    <w:name w:val="CodigoR"/>
    <w:pPr>
      <w:keepNext w:val="0"/>
      <w:keepLines/>
      <w:spacing w:before="40" w:after="80" w:line="240" w:lineRule="auto"/>
      <w:ind w:left="259" w:right="259"/>
    </w:pPr>
    <w:rPr>
      <w:rFonts w:ascii="Consolas" w:hAnsi="Consolas"/>
      <w:color w:val="0B2545"/>
      <w:sz w:val="18"/>
    </w:rPr>
  </w:style>
  <w:style w:type="paragraph" w:customStyle="1" w:styleId="Resultado">
    <w:name w:val="Resultado"/>
    <w:pPr>
      <w:keepLines/>
      <w:spacing w:before="0" w:after="120" w:line="264" w:lineRule="auto"/>
      <w:ind w:left="259" w:right="173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Muestreo aplicado en R - Base de datos de tuberculosis</dc:title>
  <dc:subject>Resultados de muestreo aleatorio simple y estratificado</dc:subject>
  <dc:creator>Estudiante EIC401</dc:creator>
  <cp:keywords>R, muestreo, tuberculosis, set.seed(2026)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