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CFE" w:rsidRPr="00B00E55" w:rsidRDefault="00EA2C32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Dear Prof. Lisa A. Prosser.</w:t>
      </w:r>
    </w:p>
    <w:p w:rsidR="00894CFE" w:rsidRPr="00B00E55" w:rsidRDefault="00EA2C32" w:rsidP="00EA2C32">
      <w:pPr>
        <w:pStyle w:val="normal0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Please find below a brief description of the WIN Network, a program to reduce child mortality, along with a kind invitation to participate in its improvement.  </w:t>
      </w:r>
    </w:p>
    <w:p w:rsidR="00894CFE" w:rsidRPr="00B00E55" w:rsidRDefault="00EA2C32" w:rsidP="00EA2C32">
      <w:pPr>
        <w:pStyle w:val="normal0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0E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The WIN Network: a safety net to improve birth outcomes in Detroit. </w:t>
      </w:r>
    </w:p>
    <w:p w:rsidR="00C16ADD" w:rsidRDefault="00EA2C32" w:rsidP="00EA2C32">
      <w:pPr>
        <w:pStyle w:val="normal0"/>
        <w:spacing w:line="48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city of Detroit experiences profound disparities in health care. </w:t>
      </w:r>
      <w:r w:rsid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ealth outcomes across the</w:t>
      </w:r>
      <w:r w:rsid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lifespan of individuals are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istently unequal among people from different socio-economic status</w:t>
      </w:r>
      <w:r w:rsid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(Milbank, 2002)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. One of the major concerns of every stakeholder on health was the rampant increase in child mortality.</w:t>
      </w:r>
      <w:r w:rsidR="0090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odds of low birth weight were 1.15 higher among inhabitants of Black-segregated neighborhoods compared to those who lived in communities that were not segregated. 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2008, Dr. Nancy </w:t>
      </w:r>
      <w:proofErr w:type="spellStart"/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Schlichting</w:t>
      </w:r>
      <w:proofErr w:type="spellEnd"/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brought together</w:t>
      </w:r>
      <w:r w:rsidR="009073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leaders of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competing health systems to design a s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trategy to reduce child mortality. The WIN Network was created as a result of this partnership to improve maternal and child</w:t>
      </w:r>
      <w:r w:rsidR="00CD2520">
        <w:rPr>
          <w:rFonts w:ascii="Times New Roman" w:eastAsia="Times New Roman" w:hAnsi="Times New Roman" w:cs="Times New Roman"/>
          <w:sz w:val="24"/>
          <w:szCs w:val="24"/>
          <w:lang w:val="en-US"/>
        </w:rPr>
        <w:t>ren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health</w:t>
      </w:r>
      <w:r w:rsidR="00CD2520">
        <w:rPr>
          <w:rFonts w:ascii="Times New Roman" w:eastAsia="Times New Roman" w:hAnsi="Times New Roman" w:cs="Times New Roman"/>
          <w:sz w:val="24"/>
          <w:szCs w:val="24"/>
          <w:lang w:val="en-US"/>
        </w:rPr>
        <w:t>, empower</w:t>
      </w:r>
      <w:proofErr w:type="gramEnd"/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women, and promote the general well-being of the community. </w:t>
      </w:r>
      <w:r w:rsidR="00AD2D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WINN 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="00AD2D4F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disparities in health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affect disproportionately African-American individuals, women, and people of low socioeconomic status that are more exposed to risk factors shared among many diseases, including those that produce poor birth outcomes. As a result of this </w:t>
      </w:r>
      <w:r w:rsidR="00265DE3">
        <w:rPr>
          <w:rFonts w:ascii="Times New Roman" w:eastAsia="Times New Roman" w:hAnsi="Times New Roman" w:cs="Times New Roman"/>
          <w:sz w:val="24"/>
          <w:szCs w:val="24"/>
          <w:lang w:val="en-US"/>
        </w:rPr>
        <w:t>upstream intervention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16ADD">
        <w:rPr>
          <w:rFonts w:ascii="Times New Roman" w:eastAsia="Times New Roman" w:hAnsi="Times New Roman" w:cs="Times New Roman"/>
          <w:sz w:val="24"/>
          <w:szCs w:val="24"/>
          <w:lang w:val="en-US"/>
        </w:rPr>
        <w:t>we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have witnessed a drop in </w:t>
      </w:r>
      <w:r w:rsidR="00AD2D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infant 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mortality rates</w:t>
      </w:r>
      <w:r w:rsidR="00C16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10 deaths per 10000 in 2009 to zero in 2006 (</w:t>
      </w:r>
      <w:hyperlink r:id="rId5" w:history="1">
        <w:r w:rsidR="00C16ADD" w:rsidRPr="009A350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https://goo.gl/xH9ZHb</w:t>
        </w:r>
      </w:hyperlink>
      <w:r w:rsidR="00C16ADD">
        <w:rPr>
          <w:rFonts w:ascii="Times New Roman" w:eastAsia="Times New Roman" w:hAnsi="Times New Roman" w:cs="Times New Roman"/>
          <w:sz w:val="24"/>
          <w:szCs w:val="24"/>
          <w:lang w:val="en-US"/>
        </w:rPr>
        <w:t>; 09/12/2017).</w:t>
      </w:r>
    </w:p>
    <w:p w:rsidR="00894CFE" w:rsidRPr="00B00E55" w:rsidRDefault="00EA2C32" w:rsidP="00EA2C32">
      <w:pPr>
        <w:pStyle w:val="normal0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0E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 present and the future of the WIN Network.</w:t>
      </w:r>
    </w:p>
    <w:p w:rsidR="00AD2D4F" w:rsidRPr="00B00E55" w:rsidRDefault="00EA2C32" w:rsidP="00AD2D4F">
      <w:pPr>
        <w:pStyle w:val="normal0"/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The strengths of WIN include their capacity of achieving behavioral change, the integration of avail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able resources, and the strong financing mechanism. Instead of creating a new aid organization, our aim was to connect existing resources with the people who needed them. WIN provided a framework to link women from three neighborhoods in Detroit to the res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ources available in their communities. For this purpose, the network recruited and trained six community health workers who are the heart of the organization. They are in close contact 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to women in the community and are aware of helpful resources. Services 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that they provide include follow-up after medical consultations, organization of medical appointments, and psychological support. </w:t>
      </w:r>
      <w:r w:rsidR="00265D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These services are tailored to the specific needs that the social workers detect. For example, social workers have been resourceful in the coordination of prenatal collective appointments with nurses. 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Although much of this communication occurs in person, our vision of the future includes the effective use of social media stra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tegies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. Ano</w:t>
      </w:r>
      <w:r w:rsidR="00AD2D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ther feature of WIN is its strong 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ties to</w:t>
      </w:r>
      <w:r w:rsidR="00C16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different health systems. Beyond being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network that integrates community services, we are in close connection with </w:t>
      </w:r>
      <w:r w:rsidR="00AD2D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Detroit’s 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four health</w:t>
      </w:r>
      <w:r w:rsidR="00AD2D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care </w:t>
      </w:r>
      <w:r w:rsidR="00C16ADD">
        <w:rPr>
          <w:rFonts w:ascii="Times New Roman" w:eastAsia="Times New Roman" w:hAnsi="Times New Roman" w:cs="Times New Roman"/>
          <w:sz w:val="24"/>
          <w:szCs w:val="24"/>
          <w:lang w:val="en-US"/>
        </w:rPr>
        <w:t>providers</w:t>
      </w:r>
      <w:r w:rsidR="00AD2D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good example of how our </w:t>
      </w:r>
      <w:r w:rsidR="00AD2D4F"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ties with local health c</w:t>
      </w:r>
      <w:r w:rsidR="00AD2D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are represent an asset is the </w:t>
      </w:r>
      <w:r w:rsidR="00C16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curriculum developed 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to engage health profession</w:t>
      </w:r>
      <w:r w:rsidR="00C16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als in working towards health equity. 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In the future, the community health workers will be more i</w:t>
      </w:r>
      <w:r w:rsidR="00AD2D4F">
        <w:rPr>
          <w:rFonts w:ascii="Times New Roman" w:eastAsia="Times New Roman" w:hAnsi="Times New Roman" w:cs="Times New Roman"/>
          <w:sz w:val="24"/>
          <w:szCs w:val="24"/>
          <w:lang w:val="en-US"/>
        </w:rPr>
        <w:t>ntegrated to the health system to create a bidirectional channel of communication.</w:t>
      </w:r>
    </w:p>
    <w:p w:rsidR="00894CFE" w:rsidRPr="00B00E55" w:rsidRDefault="00AD2D4F">
      <w:pPr>
        <w:pStyle w:val="normal0"/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is our belief</w:t>
      </w:r>
      <w:r w:rsidR="00EA2C32"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quality improvement that make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A2C32"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 project</w:t>
      </w:r>
      <w:r w:rsidR="00EA2C32"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a future in which continuous monitoring guides our development. Furthermore, we envision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expanding</w:t>
      </w:r>
      <w:r w:rsidR="00EA2C32"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our reach to more communities. Although we receive funding from Detroit’s health systems,</w:t>
      </w:r>
      <w:r w:rsidR="00165C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other funding agencies,</w:t>
      </w:r>
      <w:r w:rsidR="00EA2C32"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acknowledge that long-term sustainability is one of the chal</w:t>
      </w:r>
      <w:r w:rsidR="00EA2C32"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lenges to </w:t>
      </w:r>
      <w:r w:rsidR="00165CF4">
        <w:rPr>
          <w:rFonts w:ascii="Times New Roman" w:eastAsia="Times New Roman" w:hAnsi="Times New Roman" w:cs="Times New Roman"/>
          <w:sz w:val="24"/>
          <w:szCs w:val="24"/>
          <w:lang w:val="en-US"/>
        </w:rPr>
        <w:t>expand the implementation of</w:t>
      </w:r>
      <w:r w:rsidR="00EA2C32"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our program. We believe that your team’s expertise will be crucial to allocate resources to </w:t>
      </w:r>
      <w:r w:rsidR="00EA2C32"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cost-effec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tive interventions</w:t>
      </w:r>
      <w:r w:rsidR="00EA2C32"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the projection to attain sustainability. </w:t>
      </w:r>
      <w:r w:rsidR="00165C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Moreover, the </w:t>
      </w:r>
      <w:r w:rsidR="003C5CD5">
        <w:rPr>
          <w:rFonts w:ascii="Times New Roman" w:eastAsia="Times New Roman" w:hAnsi="Times New Roman" w:cs="Times New Roman"/>
          <w:sz w:val="24"/>
          <w:szCs w:val="24"/>
          <w:lang w:val="en-US"/>
        </w:rPr>
        <w:t>information</w:t>
      </w:r>
      <w:r w:rsidR="00165C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comparative effectiveness research</w:t>
      </w:r>
      <w:r w:rsidR="003C5C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could help us in our search for funding through the Centers for Medicare and Medicaid Services.</w:t>
      </w:r>
    </w:p>
    <w:p w:rsidR="00894CFE" w:rsidRDefault="00EA2C32">
      <w:pPr>
        <w:pStyle w:val="normal0"/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In conclusion, the WIN Network is a feasible progr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am with the potential to build a resilient community. Before we take further steps to expand it to other neighborhoods of Detroit, we need evidence that supports our model as a cost-effective strategy. The expertise of the Program in Comparative Effectiven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ess in Health Care that you lead will come timely in this </w:t>
      </w:r>
      <w:r w:rsidR="00B00E55"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>endeavor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B00E55" w:rsidRPr="00B00E55" w:rsidRDefault="00B00E55" w:rsidP="00B00E55">
      <w:pPr>
        <w:pStyle w:val="normal0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E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References</w:t>
      </w:r>
    </w:p>
    <w:p w:rsidR="00B00E55" w:rsidRDefault="00B00E55" w:rsidP="003C5CD5">
      <w:pPr>
        <w:pStyle w:val="normal0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Schultz, et al, Racial and Spatial Relations as Fundamental Determinants of Health in Detroit, </w:t>
      </w:r>
      <w:r w:rsidRPr="00AD2D4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Milbank Quarterly</w:t>
      </w:r>
      <w:r w:rsidR="00AD2D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2002,</w:t>
      </w:r>
      <w:r w:rsidRPr="00B00E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80(4): 677–707</w:t>
      </w:r>
      <w:r w:rsidR="00AD2D4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3C5CD5" w:rsidRDefault="003C5CD5" w:rsidP="003C5CD5">
      <w:pPr>
        <w:pStyle w:val="normal0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hyperlink r:id="rId6" w:history="1">
        <w:r w:rsidRPr="009A350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https://goo.gl/xH9ZHb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 09/12/2017</w:t>
      </w:r>
    </w:p>
    <w:sectPr w:rsidR="003C5CD5" w:rsidSect="00894C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131E"/>
    <w:multiLevelType w:val="hybridMultilevel"/>
    <w:tmpl w:val="73BC5C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6745E"/>
    <w:multiLevelType w:val="hybridMultilevel"/>
    <w:tmpl w:val="D7C2B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/>
  <w:rsids>
    <w:rsidRoot w:val="00894CFE"/>
    <w:rsid w:val="00165CF4"/>
    <w:rsid w:val="00265DE3"/>
    <w:rsid w:val="003C5CD5"/>
    <w:rsid w:val="00894CFE"/>
    <w:rsid w:val="009073E3"/>
    <w:rsid w:val="00AD2D4F"/>
    <w:rsid w:val="00B00E55"/>
    <w:rsid w:val="00C16ADD"/>
    <w:rsid w:val="00CD2520"/>
    <w:rsid w:val="00EA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94C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94C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94C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94C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94CF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94C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94CFE"/>
  </w:style>
  <w:style w:type="table" w:customStyle="1" w:styleId="TableNormal">
    <w:name w:val="Table Normal"/>
    <w:rsid w:val="00894C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94CF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94CFE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16A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xH9ZHb" TargetMode="External"/><Relationship Id="rId5" Type="http://schemas.openxmlformats.org/officeDocument/2006/relationships/hyperlink" Target="https://goo.gl/xH9ZH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</cp:lastModifiedBy>
  <cp:revision>4</cp:revision>
  <dcterms:created xsi:type="dcterms:W3CDTF">2017-10-13T20:55:00Z</dcterms:created>
  <dcterms:modified xsi:type="dcterms:W3CDTF">2017-10-13T21:59:00Z</dcterms:modified>
</cp:coreProperties>
</file>