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2675A" w14:textId="77777777" w:rsidR="00BD5362" w:rsidRPr="00BD5362" w:rsidRDefault="00BD5362" w:rsidP="00BD536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000000"/>
          <w:sz w:val="27"/>
          <w:szCs w:val="27"/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D5362" w:rsidRPr="00BD5362" w14:paraId="105D0155" w14:textId="77777777" w:rsidTr="00270323">
        <w:tc>
          <w:tcPr>
            <w:tcW w:w="8494" w:type="dxa"/>
            <w:gridSpan w:val="3"/>
          </w:tcPr>
          <w:p w14:paraId="6F6AEBC4" w14:textId="77777777" w:rsidR="001774E2" w:rsidRPr="001774E2" w:rsidRDefault="001774E2" w:rsidP="001774E2">
            <w:pPr>
              <w:shd w:val="clear" w:color="auto" w:fill="FFFFFF"/>
              <w:spacing w:before="150" w:after="150"/>
              <w:outlineLvl w:val="3"/>
              <w:rPr>
                <w:rFonts w:ascii="inherit" w:hAnsi="inherit" w:cs="Helvetica"/>
                <w:color w:val="000000"/>
                <w:sz w:val="27"/>
                <w:szCs w:val="27"/>
                <w:lang w:eastAsia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7"/>
              <w:gridCol w:w="2747"/>
              <w:gridCol w:w="2754"/>
            </w:tblGrid>
            <w:tr w:rsidR="001774E2" w:rsidRPr="001774E2" w14:paraId="32A617E3" w14:textId="77777777" w:rsidTr="003D1637">
              <w:tc>
                <w:tcPr>
                  <w:tcW w:w="8494" w:type="dxa"/>
                  <w:gridSpan w:val="3"/>
                </w:tcPr>
                <w:p w14:paraId="73E3AFA4" w14:textId="77777777" w:rsidR="001774E2" w:rsidRPr="001774E2" w:rsidRDefault="001774E2" w:rsidP="001774E2">
                  <w:pPr>
                    <w:shd w:val="clear" w:color="auto" w:fill="FFFFFF"/>
                    <w:spacing w:before="150" w:after="150"/>
                    <w:outlineLvl w:val="3"/>
                    <w:rPr>
                      <w:rFonts w:ascii="inherit" w:hAnsi="inherit" w:cs="Helvetica"/>
                      <w:b/>
                      <w:bCs/>
                      <w:color w:val="000000"/>
                      <w:sz w:val="27"/>
                      <w:szCs w:val="27"/>
                      <w:lang w:eastAsia="pt-BR"/>
                    </w:rPr>
                  </w:pPr>
                  <w:r w:rsidRPr="001774E2">
                    <w:rPr>
                      <w:rFonts w:ascii="inherit" w:hAnsi="inherit" w:cs="Helvetica"/>
                      <w:b/>
                      <w:bCs/>
                      <w:color w:val="000000"/>
                      <w:sz w:val="27"/>
                      <w:szCs w:val="27"/>
                      <w:lang w:eastAsia="pt-BR"/>
                    </w:rPr>
                    <w:t>Cadastro</w:t>
                  </w:r>
                </w:p>
                <w:p w14:paraId="00D62716" w14:textId="77777777" w:rsidR="001774E2" w:rsidRPr="001774E2" w:rsidRDefault="001774E2" w:rsidP="001774E2">
                  <w:pPr>
                    <w:spacing w:before="150" w:after="150"/>
                    <w:outlineLvl w:val="3"/>
                    <w:rPr>
                      <w:rFonts w:ascii="inherit" w:hAnsi="inherit" w:cs="Helvetica"/>
                      <w:color w:val="000000"/>
                      <w:sz w:val="27"/>
                      <w:szCs w:val="27"/>
                      <w:lang w:eastAsia="pt-BR"/>
                    </w:rPr>
                  </w:pPr>
                </w:p>
              </w:tc>
            </w:tr>
            <w:tr w:rsidR="001774E2" w:rsidRPr="001774E2" w14:paraId="7AF7F3B5" w14:textId="77777777" w:rsidTr="003D1637">
              <w:tc>
                <w:tcPr>
                  <w:tcW w:w="8494" w:type="dxa"/>
                  <w:gridSpan w:val="3"/>
                </w:tcPr>
                <w:p w14:paraId="28EF2F57" w14:textId="77777777" w:rsidR="001774E2" w:rsidRPr="001774E2" w:rsidRDefault="001774E2" w:rsidP="001774E2">
                  <w:pPr>
                    <w:shd w:val="clear" w:color="auto" w:fill="FFFFFF"/>
                    <w:spacing w:before="150" w:after="150"/>
                    <w:outlineLvl w:val="3"/>
                    <w:rPr>
                      <w:rFonts w:ascii="inherit" w:hAnsi="inherit" w:cs="Helvetica"/>
                      <w:b/>
                      <w:bCs/>
                      <w:color w:val="000000"/>
                      <w:sz w:val="27"/>
                      <w:szCs w:val="27"/>
                      <w:lang w:eastAsia="pt-BR"/>
                    </w:rPr>
                  </w:pPr>
                  <w:r w:rsidRPr="001774E2">
                    <w:rPr>
                      <w:rFonts w:ascii="inherit" w:hAnsi="inherit" w:cs="Helvetica"/>
                      <w:b/>
                      <w:bCs/>
                      <w:color w:val="000000"/>
                      <w:sz w:val="27"/>
                      <w:szCs w:val="27"/>
                      <w:lang w:eastAsia="pt-BR"/>
                    </w:rPr>
                    <w:t>Título do Documento</w:t>
                  </w:r>
                </w:p>
              </w:tc>
            </w:tr>
            <w:tr w:rsidR="001774E2" w:rsidRPr="001774E2" w14:paraId="537B1D69" w14:textId="77777777" w:rsidTr="003D1637">
              <w:tc>
                <w:tcPr>
                  <w:tcW w:w="8494" w:type="dxa"/>
                  <w:gridSpan w:val="3"/>
                </w:tcPr>
                <w:p w14:paraId="154D59CF" w14:textId="2BA1B923" w:rsidR="001774E2" w:rsidRPr="001774E2" w:rsidRDefault="00D231C2" w:rsidP="001774E2">
                  <w:pPr>
                    <w:spacing w:before="150" w:after="150"/>
                    <w:outlineLvl w:val="3"/>
                    <w:rPr>
                      <w:rFonts w:ascii="inherit" w:hAnsi="inherit" w:cs="Helvetica"/>
                      <w:color w:val="000000"/>
                      <w:sz w:val="27"/>
                      <w:szCs w:val="27"/>
                      <w:lang w:eastAsia="pt-BR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  <w:t xml:space="preserve">Método de Teste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  <w:t>Carmin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  <w:t xml:space="preserve"> de Cochonilha e Laca de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  <w:t>Carmin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  <w:t xml:space="preserve"> 52%</w:t>
                  </w:r>
                </w:p>
              </w:tc>
            </w:tr>
            <w:tr w:rsidR="001774E2" w:rsidRPr="001774E2" w14:paraId="7E5BBF6C" w14:textId="77777777" w:rsidTr="003D1637">
              <w:tc>
                <w:tcPr>
                  <w:tcW w:w="2831" w:type="dxa"/>
                </w:tcPr>
                <w:p w14:paraId="35241C5D" w14:textId="77777777" w:rsidR="001774E2" w:rsidRPr="001774E2" w:rsidRDefault="001774E2" w:rsidP="001774E2">
                  <w:pPr>
                    <w:shd w:val="clear" w:color="auto" w:fill="FFFFFF"/>
                    <w:spacing w:before="150" w:after="150"/>
                    <w:outlineLvl w:val="3"/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</w:pPr>
                  <w:r w:rsidRPr="001774E2"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  <w:t xml:space="preserve">Revisão   </w:t>
                  </w:r>
                </w:p>
              </w:tc>
              <w:tc>
                <w:tcPr>
                  <w:tcW w:w="2831" w:type="dxa"/>
                </w:tcPr>
                <w:p w14:paraId="4560DFBF" w14:textId="77777777" w:rsidR="001774E2" w:rsidRPr="001774E2" w:rsidRDefault="001774E2" w:rsidP="001774E2">
                  <w:pPr>
                    <w:shd w:val="clear" w:color="auto" w:fill="FFFFFF"/>
                    <w:spacing w:before="150" w:after="150"/>
                    <w:outlineLvl w:val="3"/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</w:pPr>
                  <w:r w:rsidRPr="001774E2"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  <w:t>Sigla</w:t>
                  </w:r>
                  <w:r w:rsidRPr="001774E2"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  <w:tab/>
                  </w:r>
                </w:p>
              </w:tc>
              <w:tc>
                <w:tcPr>
                  <w:tcW w:w="2832" w:type="dxa"/>
                </w:tcPr>
                <w:p w14:paraId="30747290" w14:textId="77777777" w:rsidR="001774E2" w:rsidRPr="001774E2" w:rsidRDefault="001774E2" w:rsidP="001774E2">
                  <w:pPr>
                    <w:shd w:val="clear" w:color="auto" w:fill="FFFFFF"/>
                    <w:spacing w:before="150" w:after="150"/>
                    <w:outlineLvl w:val="3"/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</w:pPr>
                  <w:r w:rsidRPr="001774E2"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  <w:t>Número do Documento</w:t>
                  </w:r>
                </w:p>
              </w:tc>
            </w:tr>
            <w:tr w:rsidR="001774E2" w:rsidRPr="001774E2" w14:paraId="7251D7C4" w14:textId="77777777" w:rsidTr="003D1637">
              <w:tc>
                <w:tcPr>
                  <w:tcW w:w="2831" w:type="dxa"/>
                </w:tcPr>
                <w:p w14:paraId="20CB8C85" w14:textId="392460B2" w:rsidR="001774E2" w:rsidRPr="001774E2" w:rsidRDefault="00D231C2" w:rsidP="001774E2">
                  <w:pPr>
                    <w:spacing w:before="150" w:after="150"/>
                    <w:outlineLvl w:val="3"/>
                    <w:rPr>
                      <w:rFonts w:ascii="inherit" w:hAnsi="inherit" w:cs="Helvetica"/>
                      <w:color w:val="000000"/>
                      <w:sz w:val="27"/>
                      <w:szCs w:val="27"/>
                      <w:lang w:eastAsia="pt-BR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  <w:t>10</w:t>
                  </w:r>
                </w:p>
              </w:tc>
              <w:tc>
                <w:tcPr>
                  <w:tcW w:w="2831" w:type="dxa"/>
                </w:tcPr>
                <w:p w14:paraId="3BDA8E94" w14:textId="4B505ABD" w:rsidR="001774E2" w:rsidRPr="001774E2" w:rsidRDefault="00D231C2" w:rsidP="001774E2">
                  <w:pPr>
                    <w:spacing w:before="150" w:after="150"/>
                    <w:outlineLvl w:val="3"/>
                    <w:rPr>
                      <w:rFonts w:ascii="inherit" w:hAnsi="inherit" w:cs="Helvetica"/>
                      <w:color w:val="000000"/>
                      <w:sz w:val="27"/>
                      <w:szCs w:val="27"/>
                      <w:lang w:eastAsia="pt-BR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  <w:t>ME</w:t>
                  </w:r>
                </w:p>
              </w:tc>
              <w:tc>
                <w:tcPr>
                  <w:tcW w:w="2832" w:type="dxa"/>
                </w:tcPr>
                <w:p w14:paraId="4A9C8973" w14:textId="2DEC7FC8" w:rsidR="001774E2" w:rsidRPr="001774E2" w:rsidRDefault="00D231C2" w:rsidP="001774E2">
                  <w:pPr>
                    <w:spacing w:before="150" w:after="150"/>
                    <w:outlineLvl w:val="3"/>
                    <w:rPr>
                      <w:rFonts w:ascii="inherit" w:hAnsi="inherit" w:cs="Helvetica"/>
                      <w:color w:val="000000"/>
                      <w:sz w:val="27"/>
                      <w:szCs w:val="27"/>
                      <w:lang w:eastAsia="pt-BR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  <w:t>065/300/301</w:t>
                  </w:r>
                </w:p>
              </w:tc>
            </w:tr>
            <w:tr w:rsidR="001774E2" w:rsidRPr="001774E2" w14:paraId="5AFD63AB" w14:textId="77777777" w:rsidTr="003D1637">
              <w:tc>
                <w:tcPr>
                  <w:tcW w:w="2831" w:type="dxa"/>
                </w:tcPr>
                <w:p w14:paraId="48CF75FC" w14:textId="77777777" w:rsidR="001774E2" w:rsidRPr="001774E2" w:rsidRDefault="001774E2" w:rsidP="001774E2">
                  <w:pPr>
                    <w:shd w:val="clear" w:color="auto" w:fill="FFFFFF"/>
                    <w:spacing w:before="150" w:after="150"/>
                    <w:outlineLvl w:val="3"/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</w:pPr>
                  <w:r w:rsidRPr="001774E2"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  <w:t>Processo</w:t>
                  </w:r>
                </w:p>
              </w:tc>
              <w:tc>
                <w:tcPr>
                  <w:tcW w:w="2831" w:type="dxa"/>
                </w:tcPr>
                <w:p w14:paraId="59EE2115" w14:textId="77777777" w:rsidR="001774E2" w:rsidRPr="001774E2" w:rsidRDefault="001774E2" w:rsidP="001774E2">
                  <w:pPr>
                    <w:shd w:val="clear" w:color="auto" w:fill="FFFFFF"/>
                    <w:spacing w:before="150" w:after="150"/>
                    <w:outlineLvl w:val="3"/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</w:pPr>
                  <w:r w:rsidRPr="001774E2"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  <w:t>Categoria</w:t>
                  </w:r>
                </w:p>
              </w:tc>
              <w:tc>
                <w:tcPr>
                  <w:tcW w:w="2832" w:type="dxa"/>
                </w:tcPr>
                <w:p w14:paraId="1F7808FC" w14:textId="77777777" w:rsidR="001774E2" w:rsidRPr="001774E2" w:rsidRDefault="001774E2" w:rsidP="001774E2">
                  <w:pPr>
                    <w:shd w:val="clear" w:color="auto" w:fill="FFFFFF"/>
                    <w:spacing w:before="150" w:after="150"/>
                    <w:outlineLvl w:val="3"/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</w:pPr>
                  <w:r w:rsidRPr="001774E2">
                    <w:rPr>
                      <w:rFonts w:ascii="inherit" w:hAnsi="inherit" w:cs="Helvetica"/>
                      <w:b/>
                      <w:bCs/>
                      <w:color w:val="000000"/>
                      <w:lang w:eastAsia="pt-BR"/>
                    </w:rPr>
                    <w:t>Elaborador</w:t>
                  </w:r>
                </w:p>
              </w:tc>
            </w:tr>
            <w:tr w:rsidR="001774E2" w:rsidRPr="001774E2" w14:paraId="691E7579" w14:textId="77777777" w:rsidTr="003D1637">
              <w:tc>
                <w:tcPr>
                  <w:tcW w:w="2831" w:type="dxa"/>
                </w:tcPr>
                <w:p w14:paraId="45E572D5" w14:textId="3A088BF4" w:rsidR="001774E2" w:rsidRPr="001774E2" w:rsidRDefault="00D231C2" w:rsidP="001774E2">
                  <w:pPr>
                    <w:spacing w:before="150" w:after="150"/>
                    <w:outlineLvl w:val="3"/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  <w:t>Laboratório - ME</w:t>
                  </w:r>
                </w:p>
              </w:tc>
              <w:tc>
                <w:tcPr>
                  <w:tcW w:w="2831" w:type="dxa"/>
                </w:tcPr>
                <w:p w14:paraId="0E733BCF" w14:textId="65093207" w:rsidR="001774E2" w:rsidRPr="001774E2" w:rsidRDefault="00D231C2" w:rsidP="001774E2">
                  <w:pPr>
                    <w:spacing w:before="150" w:after="150"/>
                    <w:outlineLvl w:val="3"/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  <w:t>Instruções</w:t>
                  </w:r>
                </w:p>
              </w:tc>
              <w:tc>
                <w:tcPr>
                  <w:tcW w:w="2832" w:type="dxa"/>
                </w:tcPr>
                <w:p w14:paraId="75CA3349" w14:textId="6E652F21" w:rsidR="001774E2" w:rsidRPr="001774E2" w:rsidRDefault="00D231C2" w:rsidP="001774E2">
                  <w:pPr>
                    <w:spacing w:before="150" w:after="150"/>
                    <w:outlineLvl w:val="3"/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1"/>
                      <w:szCs w:val="21"/>
                      <w:lang w:eastAsia="pt-BR"/>
                    </w:rPr>
                    <w:t>Daniele Souza Santos</w:t>
                  </w:r>
                </w:p>
              </w:tc>
            </w:tr>
            <w:tr w:rsidR="001774E2" w:rsidRPr="001774E2" w14:paraId="60ED9947" w14:textId="77777777" w:rsidTr="003D1637">
              <w:trPr>
                <w:trHeight w:val="681"/>
              </w:trPr>
              <w:tc>
                <w:tcPr>
                  <w:tcW w:w="8494" w:type="dxa"/>
                  <w:gridSpan w:val="3"/>
                </w:tcPr>
                <w:p w14:paraId="508D89D5" w14:textId="77777777" w:rsidR="001774E2" w:rsidRPr="001774E2" w:rsidRDefault="001774E2" w:rsidP="001774E2">
                  <w:pPr>
                    <w:shd w:val="clear" w:color="auto" w:fill="FFFFFF"/>
                    <w:spacing w:before="150" w:after="150"/>
                    <w:outlineLvl w:val="3"/>
                    <w:rPr>
                      <w:sz w:val="27"/>
                      <w:szCs w:val="27"/>
                    </w:rPr>
                  </w:pPr>
                  <w:r w:rsidRPr="001774E2">
                    <w:rPr>
                      <w:rFonts w:ascii="inherit" w:hAnsi="inherit" w:cs="Helvetica"/>
                      <w:b/>
                      <w:bCs/>
                      <w:color w:val="000000"/>
                      <w:sz w:val="27"/>
                      <w:szCs w:val="27"/>
                      <w:lang w:eastAsia="pt-BR"/>
                    </w:rPr>
                    <w:t>Texto</w:t>
                  </w:r>
                </w:p>
              </w:tc>
            </w:tr>
            <w:tr w:rsidR="001774E2" w:rsidRPr="001774E2" w14:paraId="71DFA772" w14:textId="77777777" w:rsidTr="003D1637">
              <w:tc>
                <w:tcPr>
                  <w:tcW w:w="8494" w:type="dxa"/>
                  <w:gridSpan w:val="3"/>
                </w:tcPr>
                <w:p w14:paraId="0A87D320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&lt;p&gt;&lt;img alt="" src="http://www.equalit.com.br/Arquivos/20/Arquivos/576.jpg" /&gt;&lt;/p&gt;</w:t>
                  </w:r>
                </w:p>
                <w:p w14:paraId="7F4780EB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5CEFEEA9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&lt;p&gt;&lt;strong&gt;1- Objetivo &lt;/strong&gt;&lt;/p&gt;</w:t>
                  </w:r>
                </w:p>
                <w:p w14:paraId="53F2D5D7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25E2DD35" w14:textId="77777777" w:rsidR="00D231C2" w:rsidRDefault="00D231C2" w:rsidP="001774E2">
                  <w:r>
                    <w:t xml:space="preserve">&lt;p&gt;- Este método tem como objetivo descrever as seguintes determinações: teor de ácido </w:t>
                  </w:r>
                  <w:proofErr w:type="spellStart"/>
                  <w:r>
                    <w:t>carmínico</w:t>
                  </w:r>
                  <w:proofErr w:type="spellEnd"/>
                  <w:r>
                    <w:t xml:space="preserve">, pH, microbiologia, densidade, aparência, luminosidade, insolúveis e </w:t>
                  </w:r>
                  <w:proofErr w:type="gramStart"/>
                  <w:r>
                    <w:t>solubilidade.&lt;</w:t>
                  </w:r>
                  <w:proofErr w:type="gramEnd"/>
                  <w:r>
                    <w:t>/p&gt;</w:t>
                  </w:r>
                </w:p>
                <w:p w14:paraId="2556A1EC" w14:textId="77777777" w:rsidR="00D231C2" w:rsidRDefault="00D231C2" w:rsidP="001774E2"/>
                <w:p w14:paraId="04261175" w14:textId="77777777" w:rsidR="00D231C2" w:rsidRDefault="00D231C2" w:rsidP="001774E2">
                  <w:r>
                    <w:t>&lt;p&gt; &lt;/p&gt;</w:t>
                  </w:r>
                </w:p>
                <w:p w14:paraId="7A77B859" w14:textId="77777777" w:rsidR="00D231C2" w:rsidRDefault="00D231C2" w:rsidP="001774E2"/>
                <w:p w14:paraId="2E373C23" w14:textId="77777777" w:rsidR="00D231C2" w:rsidRDefault="00D231C2" w:rsidP="001774E2">
                  <w:r>
                    <w:t>&lt;p&gt;&lt;</w:t>
                  </w:r>
                  <w:proofErr w:type="spellStart"/>
                  <w:r>
                    <w:t>strong</w:t>
                  </w:r>
                  <w:proofErr w:type="spellEnd"/>
                  <w:r>
                    <w:t>&gt;2- Materiais e Equipamentos&lt;/</w:t>
                  </w:r>
                  <w:proofErr w:type="spellStart"/>
                  <w:r>
                    <w:t>strong</w:t>
                  </w:r>
                  <w:proofErr w:type="spellEnd"/>
                  <w:r>
                    <w:t>&gt;&lt;/p&gt;</w:t>
                  </w:r>
                </w:p>
                <w:p w14:paraId="739E9C63" w14:textId="77777777" w:rsidR="00D231C2" w:rsidRDefault="00D231C2" w:rsidP="001774E2"/>
                <w:p w14:paraId="581BFAA6" w14:textId="77777777" w:rsidR="00D231C2" w:rsidRDefault="00D231C2" w:rsidP="001774E2">
                  <w:r>
                    <w:t>&lt;p&gt;- Balança analítica&lt;/p&gt;</w:t>
                  </w:r>
                </w:p>
                <w:p w14:paraId="6F114069" w14:textId="77777777" w:rsidR="00D231C2" w:rsidRDefault="00D231C2" w:rsidP="001774E2"/>
                <w:p w14:paraId="6632B70D" w14:textId="77777777" w:rsidR="00D231C2" w:rsidRDefault="00D231C2" w:rsidP="001774E2">
                  <w:r>
                    <w:t>&lt;p&gt;- Béquer&lt;/p&gt;</w:t>
                  </w:r>
                </w:p>
                <w:p w14:paraId="5A49CA63" w14:textId="77777777" w:rsidR="00D231C2" w:rsidRDefault="00D231C2" w:rsidP="001774E2"/>
                <w:p w14:paraId="27341BC1" w14:textId="77777777" w:rsidR="00D231C2" w:rsidRDefault="00D231C2" w:rsidP="001774E2">
                  <w:r>
                    <w:t>&lt;p&gt;- Proveta&lt;/p&gt;</w:t>
                  </w:r>
                </w:p>
                <w:p w14:paraId="112C498C" w14:textId="77777777" w:rsidR="00D231C2" w:rsidRDefault="00D231C2" w:rsidP="001774E2"/>
                <w:p w14:paraId="1EB3EF4D" w14:textId="77777777" w:rsidR="00D231C2" w:rsidRDefault="00D231C2" w:rsidP="001774E2">
                  <w:r>
                    <w:t xml:space="preserve">&lt;p&gt;- </w:t>
                  </w:r>
                  <w:proofErr w:type="spellStart"/>
                  <w:r>
                    <w:t>Bagueta</w:t>
                  </w:r>
                  <w:proofErr w:type="spellEnd"/>
                  <w:r>
                    <w:t>&lt;/p&gt;</w:t>
                  </w:r>
                </w:p>
                <w:p w14:paraId="4F4C621B" w14:textId="77777777" w:rsidR="00D231C2" w:rsidRDefault="00D231C2" w:rsidP="001774E2"/>
                <w:p w14:paraId="36CADE4A" w14:textId="77777777" w:rsidR="00D231C2" w:rsidRDefault="00D231C2" w:rsidP="001774E2">
                  <w:r>
                    <w:t>&lt;p&gt;- Pipetas graduadas e volumétricas&lt;/p&gt;</w:t>
                  </w:r>
                </w:p>
                <w:p w14:paraId="6C10DB3E" w14:textId="77777777" w:rsidR="00D231C2" w:rsidRDefault="00D231C2" w:rsidP="001774E2"/>
                <w:p w14:paraId="17FD3436" w14:textId="77777777" w:rsidR="00D231C2" w:rsidRDefault="00D231C2" w:rsidP="001774E2">
                  <w:r>
                    <w:t>&lt;p&gt;- Balões volumétricos&lt;/p&gt;</w:t>
                  </w:r>
                </w:p>
                <w:p w14:paraId="17D28A53" w14:textId="77777777" w:rsidR="00D231C2" w:rsidRDefault="00D231C2" w:rsidP="001774E2"/>
                <w:p w14:paraId="4CDC12CB" w14:textId="77777777" w:rsidR="00D231C2" w:rsidRDefault="00D231C2" w:rsidP="001774E2">
                  <w:r>
                    <w:lastRenderedPageBreak/>
                    <w:t>&lt;p&gt;- Agitador magnético com aquecimento&lt;/p&gt;</w:t>
                  </w:r>
                </w:p>
                <w:p w14:paraId="2519A296" w14:textId="77777777" w:rsidR="00D231C2" w:rsidRDefault="00D231C2" w:rsidP="001774E2"/>
                <w:p w14:paraId="1BC06280" w14:textId="77777777" w:rsidR="00D231C2" w:rsidRDefault="00D231C2" w:rsidP="001774E2">
                  <w:r>
                    <w:t>&lt;p&gt;- Vidro relógio&lt;/p&gt;</w:t>
                  </w:r>
                </w:p>
                <w:p w14:paraId="24207A23" w14:textId="77777777" w:rsidR="00D231C2" w:rsidRDefault="00D231C2" w:rsidP="001774E2"/>
                <w:p w14:paraId="7B8F1582" w14:textId="77777777" w:rsidR="00D231C2" w:rsidRDefault="00D231C2" w:rsidP="001774E2">
                  <w:r>
                    <w:t>&lt;p&gt;- pHmetro&lt;/p&gt;</w:t>
                  </w:r>
                </w:p>
                <w:p w14:paraId="17D6A75D" w14:textId="77777777" w:rsidR="00D231C2" w:rsidRDefault="00D231C2" w:rsidP="001774E2"/>
                <w:p w14:paraId="356AA83E" w14:textId="77777777" w:rsidR="00D231C2" w:rsidRDefault="00D231C2" w:rsidP="001774E2">
                  <w:r>
                    <w:t>&lt;p&gt;- Espectrofotômetro visível. &lt;/p&gt;</w:t>
                  </w:r>
                </w:p>
                <w:p w14:paraId="3E304C67" w14:textId="77777777" w:rsidR="00D231C2" w:rsidRDefault="00D231C2" w:rsidP="001774E2"/>
                <w:p w14:paraId="572107D0" w14:textId="77777777" w:rsidR="00D231C2" w:rsidRDefault="00D231C2" w:rsidP="001774E2">
                  <w:r>
                    <w:t xml:space="preserve">&lt;p&gt;- </w:t>
                  </w:r>
                  <w:proofErr w:type="spellStart"/>
                  <w:r>
                    <w:t>Colorímetro</w:t>
                  </w:r>
                  <w:proofErr w:type="spellEnd"/>
                  <w:r>
                    <w:t xml:space="preserve"> digital portátil Modelo CLM-194&lt;/p&gt;</w:t>
                  </w:r>
                </w:p>
                <w:p w14:paraId="06AF7411" w14:textId="77777777" w:rsidR="00D231C2" w:rsidRDefault="00D231C2" w:rsidP="001774E2"/>
                <w:p w14:paraId="0A1350F4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 &lt;/p&gt;</w:t>
                  </w:r>
                </w:p>
                <w:p w14:paraId="25D04584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36FC45A0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&lt;p&gt;&lt;strong&gt;3- Reagentes&lt;/strong&gt;&lt;/p&gt;</w:t>
                  </w:r>
                </w:p>
                <w:p w14:paraId="52F0A009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455263DA" w14:textId="77777777" w:rsidR="00D231C2" w:rsidRDefault="00D231C2" w:rsidP="001774E2">
                  <w:r>
                    <w:t>&lt;p&gt;- Água destilada&lt;/p&gt;</w:t>
                  </w:r>
                </w:p>
                <w:p w14:paraId="590B233A" w14:textId="77777777" w:rsidR="00D231C2" w:rsidRDefault="00D231C2" w:rsidP="001774E2"/>
                <w:p w14:paraId="6530EC83" w14:textId="77777777" w:rsidR="00D231C2" w:rsidRDefault="00D231C2" w:rsidP="001774E2">
                  <w:r>
                    <w:t>&lt;p&gt;- Ácido Clorídrico 2,0 N&lt;/p&gt;</w:t>
                  </w:r>
                </w:p>
                <w:p w14:paraId="6FD99139" w14:textId="77777777" w:rsidR="00D231C2" w:rsidRDefault="00D231C2" w:rsidP="001774E2"/>
                <w:p w14:paraId="42C0F599" w14:textId="77777777" w:rsidR="00D231C2" w:rsidRDefault="00D231C2" w:rsidP="001774E2">
                  <w:r>
                    <w:t>&lt;p&gt;- Ácido Clorídrico 0,06 N&lt;/p&gt;</w:t>
                  </w:r>
                </w:p>
                <w:p w14:paraId="72382FAF" w14:textId="77777777" w:rsidR="00D231C2" w:rsidRDefault="00D231C2" w:rsidP="001774E2"/>
                <w:p w14:paraId="04EF7D33" w14:textId="77777777" w:rsidR="00D231C2" w:rsidRDefault="00D231C2" w:rsidP="001774E2">
                  <w:r>
                    <w:t>&lt;p&gt;- Leite Integral&lt;/p&gt;</w:t>
                  </w:r>
                </w:p>
                <w:p w14:paraId="67B961B5" w14:textId="77777777" w:rsidR="00D231C2" w:rsidRDefault="00D231C2" w:rsidP="001774E2"/>
                <w:p w14:paraId="16C014C0" w14:textId="77777777" w:rsidR="00D231C2" w:rsidRDefault="00D231C2" w:rsidP="001774E2">
                  <w:r>
                    <w:t>&lt;p&gt; &lt;/p&gt;</w:t>
                  </w:r>
                </w:p>
                <w:p w14:paraId="3C4DC21A" w14:textId="77777777" w:rsidR="00D231C2" w:rsidRDefault="00D231C2" w:rsidP="001774E2"/>
                <w:p w14:paraId="68591F06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&lt;p&gt;&lt;strong&gt;4- Procedimentos&lt;/strong&gt;&lt;/p&gt;</w:t>
                  </w:r>
                </w:p>
                <w:p w14:paraId="54D5E393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05241A68" w14:textId="77777777" w:rsidR="00D231C2" w:rsidRDefault="00D231C2" w:rsidP="001774E2">
                  <w:r>
                    <w:t>&lt;p&gt;&lt;</w:t>
                  </w:r>
                  <w:proofErr w:type="spellStart"/>
                  <w:r>
                    <w:t>strong</w:t>
                  </w:r>
                  <w:proofErr w:type="spellEnd"/>
                  <w:r>
                    <w:t xml:space="preserve">&gt;4.1- Teor de Ácido </w:t>
                  </w:r>
                  <w:proofErr w:type="spellStart"/>
                  <w:r>
                    <w:t>Carmínico</w:t>
                  </w:r>
                  <w:proofErr w:type="spellEnd"/>
                  <w:r>
                    <w:t>&lt;/</w:t>
                  </w:r>
                  <w:proofErr w:type="spellStart"/>
                  <w:r>
                    <w:t>strong</w:t>
                  </w:r>
                  <w:proofErr w:type="spellEnd"/>
                  <w:r>
                    <w:t>&gt;&lt;/p&gt;</w:t>
                  </w:r>
                </w:p>
                <w:p w14:paraId="3E925B14" w14:textId="77777777" w:rsidR="00D231C2" w:rsidRDefault="00D231C2" w:rsidP="001774E2"/>
                <w:p w14:paraId="7927FEE2" w14:textId="77777777" w:rsidR="00D231C2" w:rsidRDefault="00D231C2" w:rsidP="001774E2">
                  <w:r>
                    <w:t xml:space="preserve">&lt;p&gt;- Pesar em frasco de 250 </w:t>
                  </w:r>
                  <w:proofErr w:type="spellStart"/>
                  <w:r>
                    <w:t>mL</w:t>
                  </w:r>
                  <w:proofErr w:type="spellEnd"/>
                  <w:r>
                    <w:t>, conforme a tabela abaixo:&lt;/p&gt;</w:t>
                  </w:r>
                </w:p>
                <w:p w14:paraId="18617D20" w14:textId="77777777" w:rsidR="00D231C2" w:rsidRDefault="00D231C2" w:rsidP="001774E2"/>
                <w:p w14:paraId="6981A5F8" w14:textId="77777777" w:rsidR="00D231C2" w:rsidRDefault="00D231C2" w:rsidP="001774E2">
                  <w:r>
                    <w:t>&lt;p&gt; &lt;/p&gt;</w:t>
                  </w:r>
                </w:p>
                <w:p w14:paraId="1557593C" w14:textId="77777777" w:rsidR="00D231C2" w:rsidRDefault="00D231C2" w:rsidP="001774E2"/>
                <w:p w14:paraId="51C7633C" w14:textId="77777777" w:rsidR="00D231C2" w:rsidRDefault="00D231C2" w:rsidP="001774E2">
                  <w:r>
                    <w:t>&lt;p&gt;Concentração&lt;/p&gt;</w:t>
                  </w:r>
                </w:p>
                <w:p w14:paraId="7987B384" w14:textId="77777777" w:rsidR="00D231C2" w:rsidRDefault="00D231C2" w:rsidP="001774E2"/>
                <w:p w14:paraId="7CF0712B" w14:textId="77777777" w:rsidR="00D231C2" w:rsidRDefault="00D231C2" w:rsidP="001774E2">
                  <w:r>
                    <w:t>&lt;p&gt;Quantidade&lt;/p&gt;</w:t>
                  </w:r>
                </w:p>
                <w:p w14:paraId="3FF8CDCF" w14:textId="77777777" w:rsidR="00D231C2" w:rsidRDefault="00D231C2" w:rsidP="001774E2"/>
                <w:p w14:paraId="5AAD5F16" w14:textId="77777777" w:rsidR="00D231C2" w:rsidRDefault="00D231C2" w:rsidP="001774E2">
                  <w:r>
                    <w:t>&lt;p&gt;Laca 48 – 52%&lt;/p&gt;</w:t>
                  </w:r>
                </w:p>
                <w:p w14:paraId="6AAD83D0" w14:textId="77777777" w:rsidR="00D231C2" w:rsidRDefault="00D231C2" w:rsidP="001774E2"/>
                <w:p w14:paraId="1DFB73E0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&lt;p&gt;0,0900 g&lt;/p&gt;</w:t>
                  </w:r>
                </w:p>
                <w:p w14:paraId="54A4D926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465D5B1E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&lt;p&gt;Carmin 3%&lt;/p&gt;</w:t>
                  </w:r>
                </w:p>
                <w:p w14:paraId="124F82DD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5A6F9BAC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&lt;p&gt;1,7000 g&lt;/p&gt;</w:t>
                  </w:r>
                </w:p>
                <w:p w14:paraId="42C8541B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727E0385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&lt;p&gt;Carmin 1,5%&lt;/p&gt;</w:t>
                  </w:r>
                </w:p>
                <w:p w14:paraId="002B982E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108B51C4" w14:textId="77777777" w:rsidR="00D231C2" w:rsidRDefault="00D231C2" w:rsidP="001774E2">
                  <w:r>
                    <w:t>&lt;p&gt;3,5000 g&lt;/p&gt;</w:t>
                  </w:r>
                </w:p>
                <w:p w14:paraId="7E4573A6" w14:textId="77777777" w:rsidR="00D231C2" w:rsidRDefault="00D231C2" w:rsidP="001774E2"/>
                <w:p w14:paraId="4D3527B2" w14:textId="77777777" w:rsidR="00D231C2" w:rsidRDefault="00D231C2" w:rsidP="001774E2">
                  <w:r>
                    <w:lastRenderedPageBreak/>
                    <w:t>&lt;p&gt; &lt;/p&gt;</w:t>
                  </w:r>
                </w:p>
                <w:p w14:paraId="4DE8FC63" w14:textId="77777777" w:rsidR="00D231C2" w:rsidRDefault="00D231C2" w:rsidP="001774E2"/>
                <w:p w14:paraId="02A6B725" w14:textId="77777777" w:rsidR="00D231C2" w:rsidRDefault="00D231C2" w:rsidP="001774E2">
                  <w:r>
                    <w:t xml:space="preserve">&lt;p&gt;- Adicionar 100 </w:t>
                  </w:r>
                  <w:proofErr w:type="spellStart"/>
                  <w:r>
                    <w:t>mL</w:t>
                  </w:r>
                  <w:proofErr w:type="spellEnd"/>
                  <w:r>
                    <w:t xml:space="preserve"> de água destilada e 30 </w:t>
                  </w:r>
                  <w:proofErr w:type="spellStart"/>
                  <w:r>
                    <w:t>mL</w:t>
                  </w:r>
                  <w:proofErr w:type="spellEnd"/>
                  <w:r>
                    <w:t xml:space="preserve"> de ácido clorídrico 2,0 N, agitar e ferver até dissolução total. Usar agitador magnético, esfriar até temperatura ambiente. Transferir a solução para um balão volumétrico de 1000 </w:t>
                  </w:r>
                  <w:proofErr w:type="spellStart"/>
                  <w:r>
                    <w:t>mL</w:t>
                  </w:r>
                  <w:proofErr w:type="spellEnd"/>
                  <w:r>
                    <w:t xml:space="preserve"> e completar com água destilada, e </w:t>
                  </w:r>
                  <w:proofErr w:type="gramStart"/>
                  <w:r>
                    <w:t>agitar.&lt;</w:t>
                  </w:r>
                  <w:proofErr w:type="gramEnd"/>
                  <w:r>
                    <w:t>/p&gt;</w:t>
                  </w:r>
                </w:p>
                <w:p w14:paraId="572AF362" w14:textId="77777777" w:rsidR="00D231C2" w:rsidRDefault="00D231C2" w:rsidP="001774E2"/>
                <w:p w14:paraId="29EBD11B" w14:textId="77777777" w:rsidR="00D231C2" w:rsidRDefault="00D231C2" w:rsidP="001774E2">
                  <w:r>
                    <w:t xml:space="preserve">&lt;p&gt;- Determinar a absorbância da solução no comprimento de onda de 494 </w:t>
                  </w:r>
                  <w:proofErr w:type="spellStart"/>
                  <w:r>
                    <w:t>nm</w:t>
                  </w:r>
                  <w:proofErr w:type="spellEnd"/>
                  <w:r>
                    <w:t xml:space="preserve">, em espectrofotômetro visível, usando como branco ácido clorídrico 0.06 N (3 ml de </w:t>
                  </w:r>
                  <w:proofErr w:type="spellStart"/>
                  <w:r>
                    <w:t>HCl</w:t>
                  </w:r>
                  <w:proofErr w:type="spellEnd"/>
                  <w:r>
                    <w:t xml:space="preserve"> 2N completar para 100 ml de H2O em um balão volumétrico</w:t>
                  </w:r>
                  <w:proofErr w:type="gramStart"/>
                  <w:r>
                    <w:t>).&lt;</w:t>
                  </w:r>
                  <w:proofErr w:type="gramEnd"/>
                  <w:r>
                    <w:t>/p&gt;</w:t>
                  </w:r>
                </w:p>
                <w:p w14:paraId="607C6CDC" w14:textId="77777777" w:rsidR="00D231C2" w:rsidRDefault="00D231C2" w:rsidP="001774E2"/>
                <w:p w14:paraId="5E9410BD" w14:textId="77777777" w:rsidR="00D231C2" w:rsidRDefault="00D231C2" w:rsidP="001774E2">
                  <w:r>
                    <w:t xml:space="preserve">&lt;p&gt;- Observação: Ajustar o peso da amostra para obter absorbância entre 0,650 e </w:t>
                  </w:r>
                  <w:proofErr w:type="gramStart"/>
                  <w:r>
                    <w:t>0,750.&lt;</w:t>
                  </w:r>
                  <w:proofErr w:type="gramEnd"/>
                  <w:r>
                    <w:t>/p&gt;</w:t>
                  </w:r>
                </w:p>
                <w:p w14:paraId="1B849FF2" w14:textId="77777777" w:rsidR="00D231C2" w:rsidRDefault="00D231C2" w:rsidP="001774E2"/>
                <w:p w14:paraId="67834F72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&lt;p&gt;&lt;strong&gt;4.1.1- Cálculos&lt;/strong&gt;&lt;/p&gt;</w:t>
                  </w:r>
                </w:p>
                <w:p w14:paraId="103B1983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489B679B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&lt;p&gt;&lt;strong&gt;A.C. % :     &lt;u&gt; 100 x A x 100&lt;/u&gt;&lt;/strong&gt;&lt;/p&gt;</w:t>
                  </w:r>
                </w:p>
                <w:p w14:paraId="6AB2C9C4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7A6EF45A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&lt;p&gt;&lt;strong&gt;                   1,39 x W&lt;/strong&gt;&lt;/p&gt;</w:t>
                  </w:r>
                </w:p>
                <w:p w14:paraId="7AED987C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7C9FB457" w14:textId="77777777" w:rsidR="00D231C2" w:rsidRDefault="00D231C2" w:rsidP="001774E2">
                  <w:r>
                    <w:t xml:space="preserve">&lt;p&gt;Onde: A.C: ácido </w:t>
                  </w:r>
                  <w:proofErr w:type="spellStart"/>
                  <w:r>
                    <w:t>carmínico</w:t>
                  </w:r>
                  <w:proofErr w:type="spellEnd"/>
                  <w:r>
                    <w:t>&lt;/p&gt;</w:t>
                  </w:r>
                </w:p>
                <w:p w14:paraId="5C93234A" w14:textId="77777777" w:rsidR="00D231C2" w:rsidRDefault="00D231C2" w:rsidP="001774E2"/>
                <w:p w14:paraId="6FE63E36" w14:textId="77777777" w:rsidR="00D231C2" w:rsidRDefault="00D231C2" w:rsidP="001774E2">
                  <w:r>
                    <w:t>&lt;p&gt;           A: absorbância&lt;/p&gt;</w:t>
                  </w:r>
                </w:p>
                <w:p w14:paraId="28F25F52" w14:textId="77777777" w:rsidR="00D231C2" w:rsidRDefault="00D231C2" w:rsidP="001774E2"/>
                <w:p w14:paraId="2AD77F9F" w14:textId="77777777" w:rsidR="00D231C2" w:rsidRDefault="00D231C2" w:rsidP="001774E2">
                  <w:r>
                    <w:t xml:space="preserve">&lt;p&gt;           1,39: Absorbância do ácido </w:t>
                  </w:r>
                  <w:proofErr w:type="spellStart"/>
                  <w:r>
                    <w:t>carmínico</w:t>
                  </w:r>
                  <w:proofErr w:type="spellEnd"/>
                  <w:r>
                    <w:t xml:space="preserve"> solução&lt;/p&gt;</w:t>
                  </w:r>
                </w:p>
                <w:p w14:paraId="61BC47EC" w14:textId="77777777" w:rsidR="00D231C2" w:rsidRDefault="00D231C2" w:rsidP="001774E2"/>
                <w:p w14:paraId="5E84BFBB" w14:textId="77777777" w:rsidR="00D231C2" w:rsidRDefault="00D231C2" w:rsidP="001774E2">
                  <w:r>
                    <w:t xml:space="preserve">&lt;p&gt;           </w:t>
                  </w:r>
                  <w:proofErr w:type="gramStart"/>
                  <w:r>
                    <w:t>W :</w:t>
                  </w:r>
                  <w:proofErr w:type="gramEnd"/>
                  <w:r>
                    <w:t> Peso da amostra em mg.&lt;/p&gt;</w:t>
                  </w:r>
                </w:p>
                <w:p w14:paraId="445180F8" w14:textId="77777777" w:rsidR="00D231C2" w:rsidRDefault="00D231C2" w:rsidP="001774E2"/>
                <w:p w14:paraId="39620CF4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 &lt;/p&gt;</w:t>
                  </w:r>
                </w:p>
                <w:p w14:paraId="342AEAF0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73B402B1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&lt;p&gt;&lt;strong&gt;4.2- pH&lt;/strong&gt;&lt;/p&gt;</w:t>
                  </w:r>
                </w:p>
                <w:p w14:paraId="0E3014A7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224527D4" w14:textId="77777777" w:rsidR="00D231C2" w:rsidRDefault="00D231C2" w:rsidP="001774E2">
                  <w:r>
                    <w:t>&lt;p&gt;- Utilizar o método de teste MG-</w:t>
                  </w:r>
                  <w:proofErr w:type="gramStart"/>
                  <w:r>
                    <w:t>538.&lt;</w:t>
                  </w:r>
                  <w:proofErr w:type="gramEnd"/>
                  <w:r>
                    <w:t>/p&gt;</w:t>
                  </w:r>
                </w:p>
                <w:p w14:paraId="2508351C" w14:textId="77777777" w:rsidR="00D231C2" w:rsidRDefault="00D231C2" w:rsidP="001774E2"/>
                <w:p w14:paraId="215D8E85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 &lt;/p&gt;</w:t>
                  </w:r>
                </w:p>
                <w:p w14:paraId="0701F838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1144ED0F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&lt;p&gt;&lt;strong&gt;4.3- Microbiologia&lt;/strong&gt;&lt;/p&gt;</w:t>
                  </w:r>
                </w:p>
                <w:p w14:paraId="6B59A383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04A45DFF" w14:textId="77777777" w:rsidR="00D231C2" w:rsidRDefault="00D231C2" w:rsidP="001774E2">
                  <w:r>
                    <w:t>&lt;p&gt;- Utilizar método de teste MG-</w:t>
                  </w:r>
                  <w:proofErr w:type="gramStart"/>
                  <w:r>
                    <w:t>539.&lt;</w:t>
                  </w:r>
                  <w:proofErr w:type="gramEnd"/>
                  <w:r>
                    <w:t>/p&gt;</w:t>
                  </w:r>
                </w:p>
                <w:p w14:paraId="6AA380FC" w14:textId="77777777" w:rsidR="00D231C2" w:rsidRDefault="00D231C2" w:rsidP="001774E2"/>
                <w:p w14:paraId="70362A6D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 &lt;/p&gt;</w:t>
                  </w:r>
                </w:p>
                <w:p w14:paraId="3C033058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1680D30F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&lt;p&gt;&lt;strong&gt;4.4- Densidade&lt;/strong&gt;&lt;/p&gt;</w:t>
                  </w:r>
                </w:p>
                <w:p w14:paraId="5E8D6734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7FA38CFC" w14:textId="77777777" w:rsidR="00D231C2" w:rsidRDefault="00D231C2" w:rsidP="001774E2">
                  <w:r>
                    <w:t>&lt;p&gt;- Ajustar a temperatura para 20ºC. Utilizar método de teste MG-</w:t>
                  </w:r>
                  <w:proofErr w:type="gramStart"/>
                  <w:r>
                    <w:t>511.&lt;</w:t>
                  </w:r>
                  <w:proofErr w:type="gramEnd"/>
                  <w:r>
                    <w:t>/p&gt;</w:t>
                  </w:r>
                </w:p>
                <w:p w14:paraId="719040A1" w14:textId="77777777" w:rsidR="00D231C2" w:rsidRDefault="00D231C2" w:rsidP="001774E2"/>
                <w:p w14:paraId="62176CF1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 &lt;/p&gt;</w:t>
                  </w:r>
                </w:p>
                <w:p w14:paraId="2766CA32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7C130FAA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lastRenderedPageBreak/>
                    <w:t>&lt;p&gt;&lt;strong&gt;4.5-  Aparência&lt;/strong&gt;&lt;/p&gt;</w:t>
                  </w:r>
                </w:p>
                <w:p w14:paraId="5D987AC3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50F8C0F1" w14:textId="77777777" w:rsidR="00D231C2" w:rsidRDefault="00D231C2" w:rsidP="001774E2">
                  <w:r>
                    <w:t>&lt;p&gt;</w:t>
                  </w:r>
                  <w:proofErr w:type="gramStart"/>
                  <w:r>
                    <w:t>-  Laca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Carmin</w:t>
                  </w:r>
                  <w:proofErr w:type="spellEnd"/>
                  <w:r>
                    <w:t xml:space="preserve"> 52%: pó vermelho fino brilhante&lt;/p&gt;</w:t>
                  </w:r>
                </w:p>
                <w:p w14:paraId="3839D90A" w14:textId="77777777" w:rsidR="00D231C2" w:rsidRDefault="00D231C2" w:rsidP="001774E2"/>
                <w:p w14:paraId="4E37D727" w14:textId="77777777" w:rsidR="00D231C2" w:rsidRDefault="00D231C2" w:rsidP="001774E2">
                  <w:r>
                    <w:t xml:space="preserve">&lt;p&gt;- </w:t>
                  </w:r>
                  <w:proofErr w:type="spellStart"/>
                  <w:r>
                    <w:t>Carmin</w:t>
                  </w:r>
                  <w:proofErr w:type="spellEnd"/>
                  <w:r>
                    <w:t xml:space="preserve"> 3%: </w:t>
                  </w:r>
                  <w:proofErr w:type="gramStart"/>
                  <w:r>
                    <w:t>Liquido</w:t>
                  </w:r>
                  <w:proofErr w:type="gramEnd"/>
                  <w:r>
                    <w:t xml:space="preserve"> vermelho com odor amoniacal&lt;/p&gt;</w:t>
                  </w:r>
                </w:p>
                <w:p w14:paraId="42B16497" w14:textId="77777777" w:rsidR="00D231C2" w:rsidRDefault="00D231C2" w:rsidP="001774E2"/>
                <w:p w14:paraId="2AF1D7F5" w14:textId="77777777" w:rsidR="00D231C2" w:rsidRDefault="00D231C2" w:rsidP="001774E2">
                  <w:r>
                    <w:t xml:space="preserve">&lt;p&gt;- </w:t>
                  </w:r>
                  <w:proofErr w:type="spellStart"/>
                  <w:r>
                    <w:t>Carmin</w:t>
                  </w:r>
                  <w:proofErr w:type="spellEnd"/>
                  <w:r>
                    <w:t xml:space="preserve"> 3% KOH: Liquido vermelho com odor </w:t>
                  </w:r>
                  <w:proofErr w:type="gramStart"/>
                  <w:r>
                    <w:t>característico.&lt;</w:t>
                  </w:r>
                  <w:proofErr w:type="gramEnd"/>
                  <w:r>
                    <w:t>/p&gt;</w:t>
                  </w:r>
                </w:p>
                <w:p w14:paraId="04258F67" w14:textId="77777777" w:rsidR="00D231C2" w:rsidRDefault="00D231C2" w:rsidP="001774E2"/>
                <w:p w14:paraId="4FAEB66A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 &lt;/p&gt;</w:t>
                  </w:r>
                </w:p>
                <w:p w14:paraId="0DEF262A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1D149448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&lt;p&gt;&lt;strong&gt;4.6- Luminosidade&lt;/strong&gt;&lt;/p&gt;</w:t>
                  </w:r>
                </w:p>
                <w:p w14:paraId="6328E431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003BCD68" w14:textId="77777777" w:rsidR="00D231C2" w:rsidRDefault="00D231C2" w:rsidP="001774E2">
                  <w:r>
                    <w:t xml:space="preserve">&lt;p&gt;- A amostra deverá ser diluída na seguinte proporção: 1 ml de </w:t>
                  </w:r>
                  <w:proofErr w:type="spellStart"/>
                  <w:r>
                    <w:t>carmin</w:t>
                  </w:r>
                  <w:proofErr w:type="spellEnd"/>
                  <w:r>
                    <w:t xml:space="preserve"> para 100ml de leite integral. Utilizar método de teste MG-</w:t>
                  </w:r>
                  <w:proofErr w:type="gramStart"/>
                  <w:r>
                    <w:t>545.&lt;</w:t>
                  </w:r>
                  <w:proofErr w:type="gramEnd"/>
                  <w:r>
                    <w:t>/p&gt;</w:t>
                  </w:r>
                </w:p>
                <w:p w14:paraId="6D94A5C3" w14:textId="77777777" w:rsidR="00D231C2" w:rsidRDefault="00D231C2" w:rsidP="001774E2"/>
                <w:p w14:paraId="1ED73384" w14:textId="77777777" w:rsidR="00D231C2" w:rsidRDefault="00D231C2" w:rsidP="001774E2">
                  <w:r>
                    <w:t>&lt;p&gt; &lt;/p&gt;</w:t>
                  </w:r>
                </w:p>
                <w:p w14:paraId="6C908A38" w14:textId="77777777" w:rsidR="00D231C2" w:rsidRDefault="00D231C2" w:rsidP="001774E2"/>
                <w:p w14:paraId="0326F3C6" w14:textId="77777777" w:rsidR="00D231C2" w:rsidRDefault="00D231C2" w:rsidP="001774E2">
                  <w:r>
                    <w:t>&lt;p&gt;&lt;</w:t>
                  </w:r>
                  <w:proofErr w:type="spellStart"/>
                  <w:r>
                    <w:t>strong</w:t>
                  </w:r>
                  <w:proofErr w:type="spellEnd"/>
                  <w:r>
                    <w:t>&gt;4.7- Insolúveis&lt;/</w:t>
                  </w:r>
                  <w:proofErr w:type="spellStart"/>
                  <w:r>
                    <w:t>strong</w:t>
                  </w:r>
                  <w:proofErr w:type="spellEnd"/>
                  <w:r>
                    <w:t>&gt;&lt;/p&gt;</w:t>
                  </w:r>
                </w:p>
                <w:p w14:paraId="49943A42" w14:textId="77777777" w:rsidR="00D231C2" w:rsidRDefault="00D231C2" w:rsidP="001774E2"/>
                <w:p w14:paraId="4D1889E4" w14:textId="77777777" w:rsidR="00D231C2" w:rsidRDefault="00D231C2" w:rsidP="001774E2">
                  <w:r>
                    <w:t>&lt;p&gt;- Utilizar método de teste MG-</w:t>
                  </w:r>
                  <w:proofErr w:type="gramStart"/>
                  <w:r>
                    <w:t>523.&lt;</w:t>
                  </w:r>
                  <w:proofErr w:type="gramEnd"/>
                  <w:r>
                    <w:t>/p&gt;</w:t>
                  </w:r>
                </w:p>
                <w:p w14:paraId="5283538F" w14:textId="77777777" w:rsidR="00D231C2" w:rsidRDefault="00D231C2" w:rsidP="001774E2"/>
                <w:p w14:paraId="39499903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 &lt;/p&gt;</w:t>
                  </w:r>
                </w:p>
                <w:p w14:paraId="5C3CC4F9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754A6082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&lt;p&gt;&lt;strong&gt;4.8- Solubilidade&lt;/strong&gt;&lt;/p&gt;</w:t>
                  </w:r>
                </w:p>
                <w:p w14:paraId="67044D0E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76D25DA3" w14:textId="77777777" w:rsidR="00D231C2" w:rsidRDefault="00D231C2" w:rsidP="001774E2">
                  <w:r>
                    <w:t xml:space="preserve">&lt;p&gt;- Está de acordo com o teste de teor, aonde "adicione-se 100 </w:t>
                  </w:r>
                  <w:proofErr w:type="spellStart"/>
                  <w:r>
                    <w:t>mL</w:t>
                  </w:r>
                  <w:proofErr w:type="spellEnd"/>
                  <w:r>
                    <w:t xml:space="preserve"> de água destilada e 30 </w:t>
                  </w:r>
                  <w:proofErr w:type="spellStart"/>
                  <w:r>
                    <w:t>mL</w:t>
                  </w:r>
                  <w:proofErr w:type="spellEnd"/>
                  <w:r>
                    <w:t xml:space="preserve"> de ácido clorídrico 2,0N, agitar e ferver até dissolução total</w:t>
                  </w:r>
                  <w:proofErr w:type="gramStart"/>
                  <w:r>
                    <w:t>".&lt;</w:t>
                  </w:r>
                  <w:proofErr w:type="gramEnd"/>
                  <w:r>
                    <w:t>/p&gt;</w:t>
                  </w:r>
                </w:p>
                <w:p w14:paraId="01DD0273" w14:textId="77777777" w:rsidR="00D231C2" w:rsidRDefault="00D231C2" w:rsidP="001774E2"/>
                <w:p w14:paraId="075F5E0C" w14:textId="77777777" w:rsidR="00D231C2" w:rsidRDefault="00D231C2" w:rsidP="001774E2">
                  <w:r>
                    <w:t>&lt;p&gt; &lt;/p&gt;</w:t>
                  </w:r>
                </w:p>
                <w:p w14:paraId="6B35AD0A" w14:textId="77777777" w:rsidR="00D231C2" w:rsidRDefault="00D231C2" w:rsidP="001774E2"/>
                <w:p w14:paraId="76656448" w14:textId="77777777" w:rsidR="00D231C2" w:rsidRDefault="00D231C2" w:rsidP="001774E2">
                  <w:r>
                    <w:t>&lt;p&gt;&lt;</w:t>
                  </w:r>
                  <w:proofErr w:type="spellStart"/>
                  <w:r>
                    <w:t>strong</w:t>
                  </w:r>
                  <w:proofErr w:type="spellEnd"/>
                  <w:r>
                    <w:t>&gt;5- Precauções de Segurança&lt;/</w:t>
                  </w:r>
                  <w:proofErr w:type="spellStart"/>
                  <w:r>
                    <w:t>strong</w:t>
                  </w:r>
                  <w:proofErr w:type="spellEnd"/>
                  <w:r>
                    <w:t>&gt;&lt;/p&gt;</w:t>
                  </w:r>
                </w:p>
                <w:p w14:paraId="64254408" w14:textId="77777777" w:rsidR="00D231C2" w:rsidRDefault="00D231C2" w:rsidP="001774E2"/>
                <w:p w14:paraId="038F6DF5" w14:textId="77777777" w:rsidR="00D231C2" w:rsidRDefault="00D231C2" w:rsidP="001774E2">
                  <w:r>
                    <w:t xml:space="preserve">&lt;p&gt;- Os reagentes acima são agravantes a saúde, pois podem causar queimaduras a pele e olhos, é aconselhável o uso de equipamento de segurança tais como: óculos e </w:t>
                  </w:r>
                  <w:proofErr w:type="gramStart"/>
                  <w:r>
                    <w:t>luvas.&lt;</w:t>
                  </w:r>
                  <w:proofErr w:type="gramEnd"/>
                  <w:r>
                    <w:t>/p&gt;</w:t>
                  </w:r>
                </w:p>
                <w:p w14:paraId="53885B7E" w14:textId="77777777" w:rsidR="00D231C2" w:rsidRDefault="00D231C2" w:rsidP="001774E2"/>
                <w:p w14:paraId="541E5E83" w14:textId="77777777" w:rsidR="00D231C2" w:rsidRDefault="00D231C2" w:rsidP="001774E2">
                  <w:r>
                    <w:t>&lt;p&gt; &lt;/p&gt;</w:t>
                  </w:r>
                </w:p>
                <w:p w14:paraId="64B124DE" w14:textId="77777777" w:rsidR="00D231C2" w:rsidRDefault="00D231C2" w:rsidP="001774E2"/>
                <w:p w14:paraId="098FCDF6" w14:textId="77777777" w:rsidR="00D231C2" w:rsidRDefault="00D231C2" w:rsidP="001774E2">
                  <w:r>
                    <w:t>&lt;p&gt;&lt;</w:t>
                  </w:r>
                  <w:proofErr w:type="spellStart"/>
                  <w:r>
                    <w:t>strong</w:t>
                  </w:r>
                  <w:proofErr w:type="spellEnd"/>
                  <w:r>
                    <w:t>&gt;6- Referências Bibliográficas&lt;/</w:t>
                  </w:r>
                  <w:proofErr w:type="spellStart"/>
                  <w:r>
                    <w:t>strong</w:t>
                  </w:r>
                  <w:proofErr w:type="spellEnd"/>
                  <w:r>
                    <w:t>&gt;&lt;/p&gt;</w:t>
                  </w:r>
                </w:p>
                <w:p w14:paraId="75D28085" w14:textId="77777777" w:rsidR="00D231C2" w:rsidRDefault="00D231C2" w:rsidP="001774E2"/>
                <w:p w14:paraId="41015ACB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  <w:r w:rsidRPr="00D231C2">
                    <w:rPr>
                      <w:lang w:val="en-US"/>
                    </w:rPr>
                    <w:t>&lt;p&gt;&lt;strong&gt;Food Chemical Codex 10th Edition, 2016&lt;/strong&gt;&lt;/p&gt;</w:t>
                  </w:r>
                </w:p>
                <w:p w14:paraId="13C0BC81" w14:textId="77777777" w:rsidR="00D231C2" w:rsidRPr="00D231C2" w:rsidRDefault="00D231C2" w:rsidP="001774E2">
                  <w:pPr>
                    <w:rPr>
                      <w:lang w:val="en-US"/>
                    </w:rPr>
                  </w:pPr>
                </w:p>
                <w:p w14:paraId="4C286FF2" w14:textId="77777777" w:rsidR="00D231C2" w:rsidRDefault="00D231C2" w:rsidP="001774E2">
                  <w:r>
                    <w:t>&lt;p&gt; &lt;/p&gt;</w:t>
                  </w:r>
                </w:p>
                <w:p w14:paraId="3B1E8383" w14:textId="77777777" w:rsidR="00D231C2" w:rsidRDefault="00D231C2" w:rsidP="001774E2"/>
                <w:p w14:paraId="126BAD47" w14:textId="77777777" w:rsidR="00D231C2" w:rsidRDefault="00D231C2" w:rsidP="001774E2">
                  <w:r>
                    <w:t>&lt;p&gt;&lt;</w:t>
                  </w:r>
                  <w:proofErr w:type="spellStart"/>
                  <w:r>
                    <w:t>strong</w:t>
                  </w:r>
                  <w:proofErr w:type="spellEnd"/>
                  <w:r>
                    <w:t>&gt;* Fim do Documento *&lt;/</w:t>
                  </w:r>
                  <w:proofErr w:type="spellStart"/>
                  <w:r>
                    <w:t>strong</w:t>
                  </w:r>
                  <w:proofErr w:type="spellEnd"/>
                  <w:r>
                    <w:t>&gt;&lt;/p&gt;</w:t>
                  </w:r>
                </w:p>
                <w:p w14:paraId="1C728EDE" w14:textId="770B954D" w:rsidR="001774E2" w:rsidRPr="001774E2" w:rsidRDefault="001774E2" w:rsidP="001774E2"/>
              </w:tc>
            </w:tr>
          </w:tbl>
          <w:p w14:paraId="4051775D" w14:textId="79C68EBA" w:rsidR="00BD5362" w:rsidRPr="001774E2" w:rsidRDefault="00BD5362" w:rsidP="001774E2">
            <w:pPr>
              <w:shd w:val="clear" w:color="auto" w:fill="FFFFFF"/>
              <w:rPr>
                <w:rFonts w:ascii="Helvetica" w:hAnsi="Helvetica" w:cs="Helvetica"/>
                <w:color w:val="000000"/>
                <w:sz w:val="21"/>
                <w:szCs w:val="21"/>
                <w:lang w:eastAsia="pt-BR"/>
              </w:rPr>
            </w:pPr>
          </w:p>
        </w:tc>
      </w:tr>
      <w:tr w:rsidR="00BD5362" w:rsidRPr="00BD5362" w14:paraId="7A8D1B4E" w14:textId="77777777" w:rsidTr="00270323">
        <w:tc>
          <w:tcPr>
            <w:tcW w:w="8494" w:type="dxa"/>
            <w:gridSpan w:val="3"/>
          </w:tcPr>
          <w:p w14:paraId="5B08C57C" w14:textId="73B0961D" w:rsidR="00BD5362" w:rsidRPr="00BD5362" w:rsidRDefault="00BD5362" w:rsidP="00BD5362">
            <w:pPr>
              <w:shd w:val="clear" w:color="auto" w:fill="FFFFFF"/>
              <w:spacing w:before="150" w:after="150"/>
              <w:outlineLvl w:val="3"/>
              <w:rPr>
                <w:rFonts w:ascii="inherit" w:hAnsi="inherit" w:cs="Helvetica"/>
                <w:b/>
                <w:bCs/>
                <w:color w:val="000000"/>
                <w:sz w:val="27"/>
                <w:szCs w:val="27"/>
                <w:lang w:eastAsia="pt-BR"/>
              </w:rPr>
            </w:pPr>
          </w:p>
        </w:tc>
      </w:tr>
      <w:tr w:rsidR="00BD5362" w:rsidRPr="00BD5362" w14:paraId="297C7117" w14:textId="77777777" w:rsidTr="00270323">
        <w:tc>
          <w:tcPr>
            <w:tcW w:w="8494" w:type="dxa"/>
            <w:gridSpan w:val="3"/>
          </w:tcPr>
          <w:p w14:paraId="125D89CE" w14:textId="587BC042" w:rsidR="00BD5362" w:rsidRPr="00BD5362" w:rsidRDefault="00BD5362" w:rsidP="00BD5362">
            <w:pPr>
              <w:spacing w:before="150" w:after="150"/>
              <w:outlineLvl w:val="3"/>
              <w:rPr>
                <w:rFonts w:ascii="inherit" w:hAnsi="inherit" w:cs="Helvetica"/>
                <w:color w:val="000000"/>
                <w:sz w:val="27"/>
                <w:szCs w:val="27"/>
                <w:lang w:eastAsia="pt-BR"/>
              </w:rPr>
            </w:pPr>
          </w:p>
        </w:tc>
      </w:tr>
      <w:tr w:rsidR="00BD5362" w:rsidRPr="00BD5362" w14:paraId="001A2DF3" w14:textId="77777777" w:rsidTr="00270323">
        <w:tc>
          <w:tcPr>
            <w:tcW w:w="2831" w:type="dxa"/>
          </w:tcPr>
          <w:p w14:paraId="260B3D40" w14:textId="3AFB825A" w:rsidR="00BD5362" w:rsidRPr="00BD5362" w:rsidRDefault="00BD5362" w:rsidP="00BD5362">
            <w:pPr>
              <w:shd w:val="clear" w:color="auto" w:fill="FFFFFF"/>
              <w:spacing w:before="150" w:after="150"/>
              <w:outlineLvl w:val="3"/>
              <w:rPr>
                <w:rFonts w:ascii="inherit" w:hAnsi="inherit" w:cs="Helvetica"/>
                <w:b/>
                <w:bCs/>
                <w:color w:val="000000"/>
                <w:lang w:eastAsia="pt-BR"/>
              </w:rPr>
            </w:pPr>
          </w:p>
        </w:tc>
        <w:tc>
          <w:tcPr>
            <w:tcW w:w="2831" w:type="dxa"/>
          </w:tcPr>
          <w:p w14:paraId="18397514" w14:textId="6A1B78F0" w:rsidR="00BD5362" w:rsidRPr="00BD5362" w:rsidRDefault="00BD5362" w:rsidP="00BD5362">
            <w:pPr>
              <w:shd w:val="clear" w:color="auto" w:fill="FFFFFF"/>
              <w:spacing w:before="150" w:after="150"/>
              <w:outlineLvl w:val="3"/>
              <w:rPr>
                <w:rFonts w:ascii="inherit" w:hAnsi="inherit" w:cs="Helvetica"/>
                <w:b/>
                <w:bCs/>
                <w:color w:val="000000"/>
                <w:lang w:eastAsia="pt-BR"/>
              </w:rPr>
            </w:pPr>
          </w:p>
        </w:tc>
        <w:tc>
          <w:tcPr>
            <w:tcW w:w="2832" w:type="dxa"/>
          </w:tcPr>
          <w:p w14:paraId="6F4D35E9" w14:textId="1E8B8935" w:rsidR="00BD5362" w:rsidRPr="00BD5362" w:rsidRDefault="00BD5362" w:rsidP="00BD5362">
            <w:pPr>
              <w:shd w:val="clear" w:color="auto" w:fill="FFFFFF"/>
              <w:spacing w:before="150" w:after="150"/>
              <w:outlineLvl w:val="3"/>
              <w:rPr>
                <w:rFonts w:ascii="inherit" w:hAnsi="inherit" w:cs="Helvetica"/>
                <w:b/>
                <w:bCs/>
                <w:color w:val="000000"/>
                <w:lang w:eastAsia="pt-BR"/>
              </w:rPr>
            </w:pPr>
          </w:p>
        </w:tc>
      </w:tr>
      <w:tr w:rsidR="00BD5362" w:rsidRPr="00BD5362" w14:paraId="3C01D38D" w14:textId="77777777" w:rsidTr="00270323">
        <w:tc>
          <w:tcPr>
            <w:tcW w:w="2831" w:type="dxa"/>
          </w:tcPr>
          <w:p w14:paraId="076171F6" w14:textId="26AAA546" w:rsidR="00BD5362" w:rsidRPr="00BD5362" w:rsidRDefault="00BD5362" w:rsidP="00BD5362">
            <w:pPr>
              <w:spacing w:before="150" w:after="150"/>
              <w:outlineLvl w:val="3"/>
              <w:rPr>
                <w:rFonts w:ascii="inherit" w:hAnsi="inherit" w:cs="Helvetica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831" w:type="dxa"/>
          </w:tcPr>
          <w:p w14:paraId="405DA410" w14:textId="59F4FD6A" w:rsidR="00BD5362" w:rsidRPr="00BD5362" w:rsidRDefault="00BD5362" w:rsidP="00BD5362">
            <w:pPr>
              <w:spacing w:before="150" w:after="150"/>
              <w:outlineLvl w:val="3"/>
              <w:rPr>
                <w:rFonts w:ascii="inherit" w:hAnsi="inherit" w:cs="Helvetica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832" w:type="dxa"/>
          </w:tcPr>
          <w:p w14:paraId="636BDCC8" w14:textId="5DC49780" w:rsidR="00BD5362" w:rsidRPr="00BD5362" w:rsidRDefault="00BD5362" w:rsidP="00BD5362">
            <w:pPr>
              <w:spacing w:before="150" w:after="150"/>
              <w:outlineLvl w:val="3"/>
              <w:rPr>
                <w:rFonts w:ascii="inherit" w:hAnsi="inherit" w:cs="Helvetica"/>
                <w:color w:val="000000"/>
                <w:sz w:val="27"/>
                <w:szCs w:val="27"/>
                <w:lang w:eastAsia="pt-BR"/>
              </w:rPr>
            </w:pPr>
          </w:p>
        </w:tc>
      </w:tr>
      <w:tr w:rsidR="00BD5362" w:rsidRPr="00BD5362" w14:paraId="0F525413" w14:textId="77777777" w:rsidTr="00270323">
        <w:tc>
          <w:tcPr>
            <w:tcW w:w="2831" w:type="dxa"/>
          </w:tcPr>
          <w:p w14:paraId="2D1D9B78" w14:textId="59BEAE22" w:rsidR="00BD5362" w:rsidRPr="00BD5362" w:rsidRDefault="00BD5362" w:rsidP="00BD5362">
            <w:pPr>
              <w:shd w:val="clear" w:color="auto" w:fill="FFFFFF"/>
              <w:spacing w:before="150" w:after="150"/>
              <w:outlineLvl w:val="3"/>
              <w:rPr>
                <w:rFonts w:ascii="inherit" w:hAnsi="inherit" w:cs="Helvetica"/>
                <w:b/>
                <w:bCs/>
                <w:color w:val="000000"/>
                <w:lang w:eastAsia="pt-BR"/>
              </w:rPr>
            </w:pPr>
          </w:p>
        </w:tc>
        <w:tc>
          <w:tcPr>
            <w:tcW w:w="2831" w:type="dxa"/>
          </w:tcPr>
          <w:p w14:paraId="63E21CDD" w14:textId="5A03AADC" w:rsidR="00BD5362" w:rsidRPr="00BD5362" w:rsidRDefault="00BD5362" w:rsidP="00BD5362">
            <w:pPr>
              <w:shd w:val="clear" w:color="auto" w:fill="FFFFFF"/>
              <w:spacing w:before="150" w:after="150"/>
              <w:outlineLvl w:val="3"/>
              <w:rPr>
                <w:rFonts w:ascii="inherit" w:hAnsi="inherit" w:cs="Helvetica"/>
                <w:b/>
                <w:bCs/>
                <w:color w:val="000000"/>
                <w:lang w:eastAsia="pt-BR"/>
              </w:rPr>
            </w:pPr>
          </w:p>
        </w:tc>
        <w:tc>
          <w:tcPr>
            <w:tcW w:w="2832" w:type="dxa"/>
          </w:tcPr>
          <w:p w14:paraId="747A350E" w14:textId="7B933921" w:rsidR="00BD5362" w:rsidRPr="00BD5362" w:rsidRDefault="00BD5362" w:rsidP="00BD5362">
            <w:pPr>
              <w:shd w:val="clear" w:color="auto" w:fill="FFFFFF"/>
              <w:spacing w:before="150" w:after="150"/>
              <w:outlineLvl w:val="3"/>
              <w:rPr>
                <w:rFonts w:ascii="inherit" w:hAnsi="inherit" w:cs="Helvetica"/>
                <w:b/>
                <w:bCs/>
                <w:color w:val="000000"/>
                <w:lang w:eastAsia="pt-BR"/>
              </w:rPr>
            </w:pPr>
          </w:p>
        </w:tc>
      </w:tr>
      <w:tr w:rsidR="00BD5362" w:rsidRPr="00BD5362" w14:paraId="7CFDF77B" w14:textId="77777777" w:rsidTr="00270323">
        <w:tc>
          <w:tcPr>
            <w:tcW w:w="2831" w:type="dxa"/>
          </w:tcPr>
          <w:p w14:paraId="64700549" w14:textId="70FDBDC8" w:rsidR="00BD5362" w:rsidRPr="00BD5362" w:rsidRDefault="00BD5362" w:rsidP="00BD5362">
            <w:pPr>
              <w:spacing w:before="150" w:after="150"/>
              <w:outlineLvl w:val="3"/>
              <w:rPr>
                <w:rFonts w:ascii="Helvetica" w:hAnsi="Helvetica" w:cs="Helvetica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2831" w:type="dxa"/>
          </w:tcPr>
          <w:p w14:paraId="3887BE0D" w14:textId="2DDC217F" w:rsidR="00BD5362" w:rsidRPr="00BD5362" w:rsidRDefault="00BD5362" w:rsidP="00BD5362">
            <w:pPr>
              <w:spacing w:before="150" w:after="150"/>
              <w:outlineLvl w:val="3"/>
              <w:rPr>
                <w:rFonts w:ascii="Helvetica" w:hAnsi="Helvetica" w:cs="Helvetica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2832" w:type="dxa"/>
          </w:tcPr>
          <w:p w14:paraId="4A92CE37" w14:textId="032B43FE" w:rsidR="00BD5362" w:rsidRPr="00BD5362" w:rsidRDefault="00BD5362" w:rsidP="00BD5362">
            <w:pPr>
              <w:spacing w:before="150" w:after="150"/>
              <w:outlineLvl w:val="3"/>
              <w:rPr>
                <w:rFonts w:ascii="Helvetica" w:hAnsi="Helvetica" w:cs="Helvetica"/>
                <w:color w:val="000000"/>
                <w:sz w:val="21"/>
                <w:szCs w:val="21"/>
                <w:lang w:eastAsia="pt-BR"/>
              </w:rPr>
            </w:pPr>
          </w:p>
        </w:tc>
      </w:tr>
      <w:tr w:rsidR="00BD5362" w:rsidRPr="00BD5362" w14:paraId="0CF1ACBB" w14:textId="77777777" w:rsidTr="00270323">
        <w:trPr>
          <w:trHeight w:val="681"/>
        </w:trPr>
        <w:tc>
          <w:tcPr>
            <w:tcW w:w="8494" w:type="dxa"/>
            <w:gridSpan w:val="3"/>
          </w:tcPr>
          <w:p w14:paraId="360C3247" w14:textId="51669EC9" w:rsidR="00BD5362" w:rsidRPr="00BD5362" w:rsidRDefault="00BD5362" w:rsidP="00BD5362">
            <w:pPr>
              <w:shd w:val="clear" w:color="auto" w:fill="FFFFFF"/>
              <w:spacing w:before="150" w:after="150"/>
              <w:outlineLvl w:val="3"/>
              <w:rPr>
                <w:sz w:val="27"/>
                <w:szCs w:val="27"/>
              </w:rPr>
            </w:pPr>
          </w:p>
        </w:tc>
      </w:tr>
      <w:tr w:rsidR="00BD5362" w:rsidRPr="00BD5362" w14:paraId="04A75F8E" w14:textId="77777777" w:rsidTr="00270323">
        <w:tc>
          <w:tcPr>
            <w:tcW w:w="8494" w:type="dxa"/>
            <w:gridSpan w:val="3"/>
          </w:tcPr>
          <w:p w14:paraId="6EE5E5A2" w14:textId="3850E112" w:rsidR="00BD5362" w:rsidRPr="00BD5362" w:rsidRDefault="00BD5362" w:rsidP="00BD5362"/>
        </w:tc>
      </w:tr>
    </w:tbl>
    <w:p w14:paraId="24098D0D" w14:textId="77777777" w:rsidR="00BD5362" w:rsidRPr="00BD5362" w:rsidRDefault="00BD5362" w:rsidP="00BD536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000000"/>
          <w:sz w:val="27"/>
          <w:szCs w:val="27"/>
          <w:lang w:eastAsia="pt-BR"/>
        </w:rPr>
      </w:pPr>
    </w:p>
    <w:p w14:paraId="1D74E39F" w14:textId="77777777" w:rsidR="00BD5362" w:rsidRPr="00BD5362" w:rsidRDefault="00BD5362" w:rsidP="00BD536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BD53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  </w:t>
      </w:r>
      <w:r w:rsidRPr="00BD53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</w:r>
    </w:p>
    <w:p w14:paraId="506160AE" w14:textId="77777777" w:rsidR="004636AA" w:rsidRPr="00BD5362" w:rsidRDefault="004636AA"/>
    <w:sectPr w:rsidR="004636AA" w:rsidRPr="00BD5362" w:rsidSect="00C3134C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67"/>
    <w:rsid w:val="001774E2"/>
    <w:rsid w:val="004636AA"/>
    <w:rsid w:val="004A38E0"/>
    <w:rsid w:val="005A3E11"/>
    <w:rsid w:val="00833673"/>
    <w:rsid w:val="00BD5362"/>
    <w:rsid w:val="00D231C2"/>
    <w:rsid w:val="00F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554D"/>
  <w15:chartTrackingRefBased/>
  <w15:docId w15:val="{3B6DF7C8-E4EB-4DEE-9A86-60D1F9D5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D536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Santana</dc:creator>
  <cp:keywords/>
  <dc:description/>
  <cp:lastModifiedBy>Rodrigo Santana</cp:lastModifiedBy>
  <cp:revision>9</cp:revision>
  <dcterms:created xsi:type="dcterms:W3CDTF">2021-01-12T00:25:00Z</dcterms:created>
  <dcterms:modified xsi:type="dcterms:W3CDTF">2021-01-12T06:55:00Z</dcterms:modified>
</cp:coreProperties>
</file>