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67B89E" w14:textId="6D0CCA27" w:rsidR="00F633F0" w:rsidRDefault="00F633F0" w:rsidP="00F633F0">
      <w:pPr>
        <w:jc w:val="both"/>
        <w:rPr>
          <w:lang w:val="en-US"/>
        </w:rPr>
      </w:pPr>
      <w:r>
        <w:rPr>
          <w:b/>
          <w:bCs/>
          <w:lang w:val="en-US"/>
        </w:rPr>
        <w:t xml:space="preserve">Methodological note: </w:t>
      </w:r>
      <w:r w:rsidRPr="008A611F">
        <w:rPr>
          <w:b/>
          <w:bCs/>
          <w:lang w:val="en-US"/>
        </w:rPr>
        <w:t xml:space="preserve">Social vulnerability to </w:t>
      </w:r>
      <w:r>
        <w:rPr>
          <w:b/>
          <w:bCs/>
          <w:lang w:val="en-US"/>
        </w:rPr>
        <w:t>climate transition impacts index</w:t>
      </w:r>
    </w:p>
    <w:p w14:paraId="4BCADB73" w14:textId="77777777" w:rsidR="008A6EA0" w:rsidRDefault="008A6EA0" w:rsidP="00A4659D">
      <w:pPr>
        <w:jc w:val="both"/>
        <w:rPr>
          <w:lang w:val="en-US"/>
        </w:rPr>
      </w:pPr>
    </w:p>
    <w:p w14:paraId="25E5BB16" w14:textId="77777777" w:rsidR="008A6EA0" w:rsidRDefault="008A6EA0" w:rsidP="008A6EA0">
      <w:pPr>
        <w:jc w:val="both"/>
        <w:rPr>
          <w:lang w:val="en-US"/>
        </w:rPr>
      </w:pPr>
      <w:r>
        <w:rPr>
          <w:b/>
          <w:bCs/>
          <w:lang w:val="en-US"/>
        </w:rPr>
        <w:t>Index Construction</w:t>
      </w:r>
    </w:p>
    <w:p w14:paraId="32BC1FA4" w14:textId="5C178E5E" w:rsidR="00256B8B" w:rsidRDefault="00256B8B" w:rsidP="00A4659D">
      <w:pPr>
        <w:jc w:val="both"/>
        <w:rPr>
          <w:lang w:val="en-US"/>
        </w:rPr>
      </w:pPr>
      <w:r>
        <w:rPr>
          <w:lang w:val="en-US"/>
        </w:rPr>
        <w:t xml:space="preserve">The </w:t>
      </w:r>
      <w:r>
        <w:rPr>
          <w:lang w:val="en-US"/>
        </w:rPr>
        <w:t>second</w:t>
      </w:r>
      <w:r>
        <w:rPr>
          <w:lang w:val="en-US"/>
        </w:rPr>
        <w:t xml:space="preserve"> social vulnerability index aims to consider </w:t>
      </w:r>
      <w:r>
        <w:rPr>
          <w:lang w:val="en-US"/>
        </w:rPr>
        <w:t>workers</w:t>
      </w:r>
      <w:r>
        <w:rPr>
          <w:lang w:val="en-US"/>
        </w:rPr>
        <w:t xml:space="preserve">’ vulnerability to </w:t>
      </w:r>
      <w:r>
        <w:rPr>
          <w:lang w:val="en-US"/>
        </w:rPr>
        <w:t>skills and occupations change due to the net-zero transition (rise in sustainable industries and falling fossil fuel industry</w:t>
      </w:r>
      <w:r>
        <w:rPr>
          <w:lang w:val="en-US"/>
        </w:rPr>
        <w:t>).</w:t>
      </w:r>
      <w:r>
        <w:rPr>
          <w:lang w:val="en-US"/>
        </w:rPr>
        <w:t xml:space="preserve"> </w:t>
      </w:r>
      <w:r w:rsidR="00A4659D">
        <w:rPr>
          <w:lang w:val="en-US"/>
        </w:rPr>
        <w:t>Climate change poses numerous risks for the global workers</w:t>
      </w:r>
      <w:r w:rsidR="00F633F0">
        <w:rPr>
          <w:lang w:val="en-US"/>
        </w:rPr>
        <w:t xml:space="preserve"> [1]</w:t>
      </w:r>
      <w:r w:rsidR="00A4659D">
        <w:rPr>
          <w:lang w:val="en-US"/>
        </w:rPr>
        <w:t xml:space="preserve">. </w:t>
      </w:r>
      <w:r w:rsidR="00A4659D" w:rsidRPr="008A611F">
        <w:rPr>
          <w:lang w:val="en-US"/>
        </w:rPr>
        <w:t>Two of the main factors that influence a just transition for workers in the face of climate change a flexible and highly mobile workforce and a strong income support system</w:t>
      </w:r>
      <w:r w:rsidR="00F633F0">
        <w:rPr>
          <w:lang w:val="en-US"/>
        </w:rPr>
        <w:t xml:space="preserve"> [2]</w:t>
      </w:r>
      <w:r w:rsidR="00A4659D" w:rsidRPr="008A611F">
        <w:rPr>
          <w:lang w:val="en-US"/>
        </w:rPr>
        <w:t>. Fundamental programs to enable a transition that leaves no one behind are a trade adjustment assistance and income support</w:t>
      </w:r>
      <w:r w:rsidR="00F633F0">
        <w:rPr>
          <w:lang w:val="en-US"/>
        </w:rPr>
        <w:t xml:space="preserve"> [3]</w:t>
      </w:r>
      <w:r w:rsidR="00A4659D" w:rsidRPr="008A611F">
        <w:rPr>
          <w:lang w:val="en-US"/>
        </w:rPr>
        <w:t xml:space="preserve">, programs which may have large costs that will mostly be born by governments. An ageing workforce </w:t>
      </w:r>
      <w:r w:rsidR="00A4659D">
        <w:rPr>
          <w:lang w:val="en-US"/>
        </w:rPr>
        <w:t xml:space="preserve">has </w:t>
      </w:r>
      <w:r w:rsidR="00A4659D" w:rsidRPr="008A611F">
        <w:rPr>
          <w:lang w:val="en-US"/>
        </w:rPr>
        <w:t>less flexibility and mobility is a hindering mechanisms. Technical innovation and governmental support for new industries are important to avoid sunk investments in industries that no longer are compatible with a future affected by climate change</w:t>
      </w:r>
      <w:r w:rsidR="00F633F0">
        <w:rPr>
          <w:lang w:val="en-US"/>
        </w:rPr>
        <w:t xml:space="preserve"> [4]</w:t>
      </w:r>
      <w:r w:rsidR="00A4659D" w:rsidRPr="008A611F">
        <w:rPr>
          <w:lang w:val="en-US"/>
        </w:rPr>
        <w:t>.</w:t>
      </w:r>
    </w:p>
    <w:p w14:paraId="16CFFD52" w14:textId="6BA09ECB" w:rsidR="00256B8B" w:rsidRDefault="00A4659D" w:rsidP="00A4659D">
      <w:pPr>
        <w:jc w:val="both"/>
        <w:rPr>
          <w:lang w:val="en-US"/>
        </w:rPr>
      </w:pPr>
      <w:r w:rsidRPr="008A611F">
        <w:rPr>
          <w:lang w:val="en-US"/>
        </w:rPr>
        <w:t>Economic sectors can be affected by physical risks due to extreme weather events</w:t>
      </w:r>
      <w:r w:rsidR="00F633F0">
        <w:rPr>
          <w:lang w:val="en-US"/>
        </w:rPr>
        <w:t xml:space="preserve"> [5]</w:t>
      </w:r>
      <w:r>
        <w:rPr>
          <w:lang w:val="en-US"/>
        </w:rPr>
        <w:t xml:space="preserve"> </w:t>
      </w:r>
      <w:r w:rsidRPr="008A611F">
        <w:rPr>
          <w:lang w:val="en-US"/>
        </w:rPr>
        <w:t>or to transition risks, due to economic changes in markets</w:t>
      </w:r>
      <w:r w:rsidR="00F633F0">
        <w:rPr>
          <w:lang w:val="en-US"/>
        </w:rPr>
        <w:t xml:space="preserve"> [6] [7]</w:t>
      </w:r>
      <w:r w:rsidRPr="008A611F">
        <w:rPr>
          <w:lang w:val="en-US"/>
        </w:rPr>
        <w:t>. Industries where workers will most be affected by physical risks are Agriculture</w:t>
      </w:r>
      <w:r w:rsidR="00F633F0">
        <w:rPr>
          <w:lang w:val="en-US"/>
        </w:rPr>
        <w:t xml:space="preserve"> [8]</w:t>
      </w:r>
      <w:r w:rsidRPr="008A611F">
        <w:rPr>
          <w:lang w:val="en-US"/>
        </w:rPr>
        <w:t xml:space="preserve"> and Construction</w:t>
      </w:r>
      <w:r w:rsidR="00F633F0">
        <w:rPr>
          <w:lang w:val="en-US"/>
        </w:rPr>
        <w:t xml:space="preserve"> [</w:t>
      </w:r>
      <w:r w:rsidR="005B5CC9">
        <w:rPr>
          <w:lang w:val="en-US"/>
        </w:rPr>
        <w:t>9</w:t>
      </w:r>
      <w:r w:rsidR="00F633F0">
        <w:rPr>
          <w:lang w:val="en-US"/>
        </w:rPr>
        <w:t>]</w:t>
      </w:r>
      <w:r w:rsidRPr="008A611F">
        <w:rPr>
          <w:lang w:val="en-US"/>
        </w:rPr>
        <w:t xml:space="preserve">, while </w:t>
      </w:r>
      <w:r w:rsidR="00BE41D3">
        <w:rPr>
          <w:lang w:val="en-US"/>
        </w:rPr>
        <w:t>E</w:t>
      </w:r>
      <w:r w:rsidRPr="008A611F">
        <w:rPr>
          <w:lang w:val="en-US"/>
        </w:rPr>
        <w:t xml:space="preserve">nergy, </w:t>
      </w:r>
      <w:r w:rsidR="00BE41D3">
        <w:rPr>
          <w:lang w:val="en-US"/>
        </w:rPr>
        <w:t>F</w:t>
      </w:r>
      <w:r w:rsidRPr="008A611F">
        <w:rPr>
          <w:lang w:val="en-US"/>
        </w:rPr>
        <w:t>ossil fuel extraction</w:t>
      </w:r>
      <w:r w:rsidR="00F633F0">
        <w:rPr>
          <w:lang w:val="en-US"/>
        </w:rPr>
        <w:t xml:space="preserve"> [1</w:t>
      </w:r>
      <w:r w:rsidR="005B5CC9">
        <w:rPr>
          <w:lang w:val="en-US"/>
        </w:rPr>
        <w:t>0</w:t>
      </w:r>
      <w:r w:rsidR="00F633F0">
        <w:rPr>
          <w:lang w:val="en-US"/>
        </w:rPr>
        <w:t>]</w:t>
      </w:r>
      <w:r w:rsidRPr="008A611F">
        <w:rPr>
          <w:lang w:val="en-US"/>
        </w:rPr>
        <w:t xml:space="preserve">, </w:t>
      </w:r>
      <w:r w:rsidR="00BE41D3">
        <w:rPr>
          <w:lang w:val="en-US"/>
        </w:rPr>
        <w:t>M</w:t>
      </w:r>
      <w:r w:rsidRPr="008A611F">
        <w:rPr>
          <w:lang w:val="en-US"/>
        </w:rPr>
        <w:t>anufacturing</w:t>
      </w:r>
      <w:r w:rsidR="00F633F0">
        <w:rPr>
          <w:lang w:val="en-US"/>
        </w:rPr>
        <w:t xml:space="preserve"> [1</w:t>
      </w:r>
      <w:r w:rsidR="005B5CC9">
        <w:rPr>
          <w:lang w:val="en-US"/>
        </w:rPr>
        <w:t>1</w:t>
      </w:r>
      <w:r w:rsidR="00F633F0">
        <w:rPr>
          <w:lang w:val="en-US"/>
        </w:rPr>
        <w:t>]</w:t>
      </w:r>
      <w:r w:rsidRPr="008A611F">
        <w:rPr>
          <w:lang w:val="en-US"/>
        </w:rPr>
        <w:t xml:space="preserve">, and </w:t>
      </w:r>
      <w:r w:rsidR="00BE41D3">
        <w:rPr>
          <w:lang w:val="en-US"/>
        </w:rPr>
        <w:t>M</w:t>
      </w:r>
      <w:r w:rsidRPr="008A611F">
        <w:rPr>
          <w:lang w:val="en-US"/>
        </w:rPr>
        <w:t>ining</w:t>
      </w:r>
      <w:r w:rsidR="00F633F0">
        <w:rPr>
          <w:lang w:val="en-US"/>
        </w:rPr>
        <w:t xml:space="preserve"> [1</w:t>
      </w:r>
      <w:r w:rsidR="005B5CC9">
        <w:rPr>
          <w:lang w:val="en-US"/>
        </w:rPr>
        <w:t>2</w:t>
      </w:r>
      <w:r w:rsidR="00F633F0">
        <w:rPr>
          <w:lang w:val="en-US"/>
        </w:rPr>
        <w:t>]</w:t>
      </w:r>
      <w:r w:rsidRPr="008A611F">
        <w:rPr>
          <w:lang w:val="en-US"/>
        </w:rPr>
        <w:t xml:space="preserve"> are most at risk from transition factors. Other industries, like tourism, may exhibit a loss of income source and physical damages in the case of dwindling ecosystems and sea level rise.</w:t>
      </w:r>
    </w:p>
    <w:p w14:paraId="3D8F0695" w14:textId="5D4763E4" w:rsidR="00A4659D" w:rsidRPr="008A611F" w:rsidRDefault="00A4659D" w:rsidP="00A4659D">
      <w:pPr>
        <w:jc w:val="both"/>
        <w:rPr>
          <w:lang w:val="en-US"/>
        </w:rPr>
      </w:pPr>
      <w:r w:rsidRPr="008A611F">
        <w:rPr>
          <w:lang w:val="en-US"/>
        </w:rPr>
        <w:t>The transition vulnerability index aims to consider factors at a personal and structural scale that enable and hinder a just transition for workers. Additionally, the proportion of workers in industries affected by physical and transitional risks will be compared to the general social vulnerability index to transition risks. It is important to also compare workers exposed to physical risks with climate change exposure.</w:t>
      </w:r>
    </w:p>
    <w:p w14:paraId="60B380BA" w14:textId="43FB9F27" w:rsidR="00F633F0" w:rsidRPr="00B144C8" w:rsidRDefault="00F633F0" w:rsidP="00F633F0">
      <w:pPr>
        <w:jc w:val="both"/>
        <w:rPr>
          <w:lang w:val="en-US"/>
        </w:rPr>
      </w:pPr>
      <w:r>
        <w:rPr>
          <w:lang w:val="en-US"/>
        </w:rPr>
        <w:t>The</w:t>
      </w:r>
      <w:r>
        <w:rPr>
          <w:lang w:val="en-US"/>
        </w:rPr>
        <w:t xml:space="preserve"> construction of the climate transition vulnerability index is similar to the physical impacts vulnerability index. It </w:t>
      </w:r>
      <w:r>
        <w:rPr>
          <w:lang w:val="en-US"/>
        </w:rPr>
        <w:t xml:space="preserve">is composed by </w:t>
      </w:r>
      <w:r>
        <w:rPr>
          <w:lang w:val="en-US"/>
        </w:rPr>
        <w:t>six</w:t>
      </w:r>
      <w:r>
        <w:rPr>
          <w:lang w:val="en-US"/>
        </w:rPr>
        <w:t xml:space="preserve"> categories: </w:t>
      </w:r>
      <w:r>
        <w:rPr>
          <w:lang w:val="en-US"/>
        </w:rPr>
        <w:t>workforce age</w:t>
      </w:r>
      <w:r>
        <w:rPr>
          <w:lang w:val="en-US"/>
        </w:rPr>
        <w:t xml:space="preserve">, </w:t>
      </w:r>
      <w:r>
        <w:rPr>
          <w:lang w:val="en-US"/>
        </w:rPr>
        <w:t>education</w:t>
      </w:r>
      <w:r>
        <w:rPr>
          <w:lang w:val="en-US"/>
        </w:rPr>
        <w:t xml:space="preserve">, </w:t>
      </w:r>
      <w:r>
        <w:rPr>
          <w:lang w:val="en-US"/>
        </w:rPr>
        <w:t>inequality</w:t>
      </w:r>
      <w:r>
        <w:rPr>
          <w:lang w:val="en-US"/>
        </w:rPr>
        <w:t>, r</w:t>
      </w:r>
      <w:r>
        <w:rPr>
          <w:lang w:val="en-US"/>
        </w:rPr>
        <w:t>esearch and development</w:t>
      </w:r>
      <w:r>
        <w:rPr>
          <w:lang w:val="en-US"/>
        </w:rPr>
        <w:t>, g</w:t>
      </w:r>
      <w:r>
        <w:rPr>
          <w:lang w:val="en-US"/>
        </w:rPr>
        <w:t>overnment debt</w:t>
      </w:r>
      <w:r>
        <w:rPr>
          <w:lang w:val="en-US"/>
        </w:rPr>
        <w:t>.</w:t>
      </w:r>
      <w:r>
        <w:rPr>
          <w:lang w:val="en-US"/>
        </w:rPr>
        <w:t xml:space="preserve"> and gender.</w:t>
      </w:r>
      <w:r>
        <w:rPr>
          <w:lang w:val="en-US"/>
        </w:rPr>
        <w:t xml:space="preserve"> Each category is represented by one variable. For each category, a country is assigned a grade from 0 (least vulnerable) to 10 (most vulnerable) according to its corresponding rank percentile (a generalization of the classical statistical percentile that allows for repeated values). The final vulnerability index is calculated by averaging the five categories and</w:t>
      </w:r>
      <w:r w:rsidRPr="007E6B9B">
        <w:rPr>
          <w:lang w:val="en-US"/>
        </w:rPr>
        <w:t xml:space="preserve"> </w:t>
      </w:r>
      <w:r>
        <w:rPr>
          <w:lang w:val="en-US"/>
        </w:rPr>
        <w:t>normalizing the result to have a value of 0 for the least vulnerable country and 10 for the most vulnerable one.</w:t>
      </w:r>
    </w:p>
    <w:p w14:paraId="19CA14A3" w14:textId="06BC4C84" w:rsidR="00A4659D" w:rsidRDefault="00F633F0" w:rsidP="00A4659D">
      <w:pPr>
        <w:jc w:val="both"/>
        <w:rPr>
          <w:lang w:val="en-US"/>
        </w:rPr>
      </w:pPr>
      <w:r>
        <w:rPr>
          <w:lang w:val="en-US"/>
        </w:rPr>
        <w:lastRenderedPageBreak/>
        <w:t xml:space="preserve">For </w:t>
      </w:r>
      <w:r w:rsidRPr="00F633F0">
        <w:rPr>
          <w:lang w:val="en-US"/>
        </w:rPr>
        <w:t>the w</w:t>
      </w:r>
      <w:r w:rsidR="00A4659D" w:rsidRPr="00F633F0">
        <w:rPr>
          <w:lang w:val="en-US"/>
        </w:rPr>
        <w:t>orkforce age</w:t>
      </w:r>
      <w:r>
        <w:rPr>
          <w:lang w:val="en-US"/>
        </w:rPr>
        <w:t>, the selected variable is the</w:t>
      </w:r>
      <w:r>
        <w:rPr>
          <w:b/>
          <w:bCs/>
          <w:lang w:val="en-US"/>
        </w:rPr>
        <w:t xml:space="preserve"> </w:t>
      </w:r>
      <w:r w:rsidRPr="00F633F0">
        <w:rPr>
          <w:lang w:val="en-US"/>
        </w:rPr>
        <w:t>r</w:t>
      </w:r>
      <w:r w:rsidR="00A4659D" w:rsidRPr="008A611F">
        <w:rPr>
          <w:lang w:val="en-US"/>
        </w:rPr>
        <w:t xml:space="preserve">atio of population 20-39 years old to </w:t>
      </w:r>
      <w:r>
        <w:rPr>
          <w:lang w:val="en-US"/>
        </w:rPr>
        <w:t xml:space="preserve">the </w:t>
      </w:r>
      <w:r w:rsidR="00A4659D" w:rsidRPr="008A611F">
        <w:rPr>
          <w:lang w:val="en-US"/>
        </w:rPr>
        <w:t>population 40-65 years old</w:t>
      </w:r>
      <w:r>
        <w:rPr>
          <w:lang w:val="en-US"/>
        </w:rPr>
        <w:t xml:space="preserve">, using data from the World Bank’s Population Estimates and Projections </w:t>
      </w:r>
      <w:r>
        <w:rPr>
          <w:lang w:val="en-US"/>
        </w:rPr>
        <w:t>[1</w:t>
      </w:r>
      <w:r w:rsidR="005B5CC9">
        <w:rPr>
          <w:lang w:val="en-US"/>
        </w:rPr>
        <w:t>3</w:t>
      </w:r>
      <w:r w:rsidRPr="00B40717">
        <w:rPr>
          <w:lang w:val="en-US"/>
        </w:rPr>
        <w:t>]</w:t>
      </w:r>
      <w:r w:rsidR="00A4659D" w:rsidRPr="008A611F">
        <w:rPr>
          <w:lang w:val="en-US"/>
        </w:rPr>
        <w:t xml:space="preserve">. </w:t>
      </w:r>
      <w:r>
        <w:rPr>
          <w:lang w:val="en-US"/>
        </w:rPr>
        <w:t>This category measures</w:t>
      </w:r>
      <w:r w:rsidR="00A4659D" w:rsidRPr="008A611F">
        <w:rPr>
          <w:lang w:val="en-US"/>
        </w:rPr>
        <w:t xml:space="preserve"> a personal component of vulnerability;</w:t>
      </w:r>
      <w:r>
        <w:rPr>
          <w:lang w:val="en-US"/>
        </w:rPr>
        <w:t xml:space="preserve"> the variable is relevant since</w:t>
      </w:r>
      <w:r w:rsidR="00A4659D" w:rsidRPr="008A611F">
        <w:rPr>
          <w:lang w:val="en-US"/>
        </w:rPr>
        <w:t xml:space="preserve"> an older workforce is more at risk of having their skills become obsolete, and companies will likely be less interested in investing in their reskilling.</w:t>
      </w:r>
      <w:r>
        <w:rPr>
          <w:lang w:val="en-US"/>
        </w:rPr>
        <w:t xml:space="preserve"> The variable for the </w:t>
      </w:r>
      <w:r w:rsidRPr="00F633F0">
        <w:rPr>
          <w:rFonts w:ascii="AppleSystemUIFont" w:hAnsi="AppleSystemUIFont" w:cs="AppleSystemUIFont"/>
          <w:kern w:val="0"/>
          <w:sz w:val="26"/>
          <w:szCs w:val="26"/>
          <w:lang w:val="en-US"/>
        </w:rPr>
        <w:t>e</w:t>
      </w:r>
      <w:r w:rsidR="00A4659D" w:rsidRPr="00F633F0">
        <w:rPr>
          <w:rFonts w:ascii="AppleSystemUIFont" w:hAnsi="AppleSystemUIFont" w:cs="AppleSystemUIFont"/>
          <w:kern w:val="0"/>
          <w:sz w:val="26"/>
          <w:szCs w:val="26"/>
          <w:lang w:val="en-US"/>
        </w:rPr>
        <w:t>ducation</w:t>
      </w:r>
      <w:r>
        <w:rPr>
          <w:rFonts w:ascii="AppleSystemUIFont" w:hAnsi="AppleSystemUIFont" w:cs="AppleSystemUIFont"/>
          <w:kern w:val="0"/>
          <w:sz w:val="26"/>
          <w:szCs w:val="26"/>
          <w:lang w:val="en-US"/>
        </w:rPr>
        <w:t xml:space="preserve"> category is m</w:t>
      </w:r>
      <w:r w:rsidR="00A4659D" w:rsidRPr="00825777">
        <w:rPr>
          <w:rFonts w:ascii="AppleSystemUIFont" w:hAnsi="AppleSystemUIFont" w:cs="AppleSystemUIFont"/>
          <w:kern w:val="0"/>
          <w:sz w:val="26"/>
          <w:szCs w:val="26"/>
          <w:lang w:val="en-US"/>
        </w:rPr>
        <w:t>ean years of schooling</w:t>
      </w:r>
      <w:r>
        <w:rPr>
          <w:rFonts w:ascii="AppleSystemUIFont" w:hAnsi="AppleSystemUIFont" w:cs="AppleSystemUIFont"/>
          <w:kern w:val="0"/>
          <w:sz w:val="26"/>
          <w:szCs w:val="26"/>
          <w:lang w:val="en-US"/>
        </w:rPr>
        <w:t xml:space="preserve">, </w:t>
      </w:r>
      <w:r>
        <w:rPr>
          <w:lang w:val="en-US"/>
        </w:rPr>
        <w:t xml:space="preserve">reported as a component of the HDI by </w:t>
      </w:r>
      <w:r w:rsidRPr="007D48F6">
        <w:rPr>
          <w:lang w:val="en-US"/>
        </w:rPr>
        <w:t>UNPD</w:t>
      </w:r>
      <w:r>
        <w:rPr>
          <w:rFonts w:ascii="AppleSystemUIFont" w:hAnsi="AppleSystemUIFont" w:cs="AppleSystemUIFont"/>
          <w:kern w:val="0"/>
          <w:sz w:val="26"/>
          <w:szCs w:val="26"/>
          <w:lang w:val="en-US"/>
        </w:rPr>
        <w:t xml:space="preserve"> [1</w:t>
      </w:r>
      <w:r w:rsidR="005B5CC9">
        <w:rPr>
          <w:rFonts w:ascii="AppleSystemUIFont" w:hAnsi="AppleSystemUIFont" w:cs="AppleSystemUIFont"/>
          <w:kern w:val="0"/>
          <w:sz w:val="26"/>
          <w:szCs w:val="26"/>
          <w:lang w:val="en-US"/>
        </w:rPr>
        <w:t>4</w:t>
      </w:r>
      <w:r>
        <w:rPr>
          <w:rFonts w:ascii="AppleSystemUIFont" w:hAnsi="AppleSystemUIFont" w:cs="AppleSystemUIFont"/>
          <w:kern w:val="0"/>
          <w:sz w:val="26"/>
          <w:szCs w:val="26"/>
          <w:lang w:val="en-US"/>
        </w:rPr>
        <w:t>]</w:t>
      </w:r>
      <w:r w:rsidR="00A4659D" w:rsidRPr="00825777">
        <w:rPr>
          <w:rFonts w:ascii="AppleSystemUIFont" w:hAnsi="AppleSystemUIFont" w:cs="AppleSystemUIFont"/>
          <w:kern w:val="0"/>
          <w:sz w:val="26"/>
          <w:szCs w:val="26"/>
          <w:lang w:val="en-US"/>
        </w:rPr>
        <w:t xml:space="preserve">. </w:t>
      </w:r>
      <w:r>
        <w:rPr>
          <w:rFonts w:ascii="AppleSystemUIFont" w:hAnsi="AppleSystemUIFont" w:cs="AppleSystemUIFont"/>
          <w:kern w:val="0"/>
          <w:sz w:val="26"/>
          <w:szCs w:val="26"/>
          <w:lang w:val="en-US"/>
        </w:rPr>
        <w:t>This variable also measures a</w:t>
      </w:r>
      <w:r w:rsidR="00A4659D" w:rsidRPr="00825777">
        <w:rPr>
          <w:rFonts w:ascii="AppleSystemUIFont" w:hAnsi="AppleSystemUIFont" w:cs="AppleSystemUIFont"/>
          <w:kern w:val="0"/>
          <w:sz w:val="26"/>
          <w:szCs w:val="26"/>
          <w:lang w:val="en-US"/>
        </w:rPr>
        <w:t xml:space="preserve"> personal component of vulnerability,</w:t>
      </w:r>
      <w:r>
        <w:rPr>
          <w:rFonts w:ascii="AppleSystemUIFont" w:hAnsi="AppleSystemUIFont" w:cs="AppleSystemUIFont"/>
          <w:kern w:val="0"/>
          <w:sz w:val="26"/>
          <w:szCs w:val="26"/>
          <w:lang w:val="en-US"/>
        </w:rPr>
        <w:t xml:space="preserve"> and it is relevant since</w:t>
      </w:r>
      <w:r w:rsidR="00A4659D" w:rsidRPr="00825777">
        <w:rPr>
          <w:rFonts w:ascii="AppleSystemUIFont" w:hAnsi="AppleSystemUIFont" w:cs="AppleSystemUIFont"/>
          <w:kern w:val="0"/>
          <w:sz w:val="26"/>
          <w:szCs w:val="26"/>
          <w:lang w:val="en-US"/>
        </w:rPr>
        <w:t xml:space="preserve"> </w:t>
      </w:r>
      <w:r w:rsidR="00256B8B">
        <w:rPr>
          <w:rFonts w:ascii="AppleSystemUIFont" w:hAnsi="AppleSystemUIFont" w:cs="AppleSystemUIFont"/>
          <w:kern w:val="0"/>
          <w:sz w:val="26"/>
          <w:szCs w:val="26"/>
          <w:lang w:val="en-US"/>
        </w:rPr>
        <w:t>there is evidence “</w:t>
      </w:r>
      <w:r w:rsidR="00256B8B">
        <w:rPr>
          <w:rFonts w:ascii="AppleSystemUIFont" w:hAnsi="AppleSystemUIFont" w:cs="AppleSystemUIFont"/>
          <w:i/>
          <w:iCs/>
          <w:kern w:val="0"/>
          <w:sz w:val="26"/>
          <w:szCs w:val="26"/>
          <w:lang w:val="en-US"/>
        </w:rPr>
        <w:t>the net-zero transition is creating […] good-quality jobs […] in high-skill occupations and represent an opportunity for highly educated [workers] […] for low-skilled workers, green driven occupations may not be a sufficiently attractive alternative to jobs […]”</w:t>
      </w:r>
      <w:r w:rsidR="00256B8B" w:rsidRPr="00256B8B">
        <w:rPr>
          <w:rFonts w:ascii="AppleSystemUIFont" w:hAnsi="AppleSystemUIFont" w:cs="AppleSystemUIFont"/>
          <w:kern w:val="0"/>
          <w:sz w:val="26"/>
          <w:szCs w:val="26"/>
          <w:lang w:val="en-US"/>
        </w:rPr>
        <w:t xml:space="preserve"> [</w:t>
      </w:r>
      <w:r w:rsidR="00256B8B">
        <w:rPr>
          <w:rFonts w:ascii="AppleSystemUIFont" w:hAnsi="AppleSystemUIFont" w:cs="AppleSystemUIFont"/>
          <w:kern w:val="0"/>
          <w:sz w:val="26"/>
          <w:szCs w:val="26"/>
          <w:lang w:val="en-US"/>
        </w:rPr>
        <w:t>1</w:t>
      </w:r>
      <w:r w:rsidR="005B5CC9">
        <w:rPr>
          <w:rFonts w:ascii="AppleSystemUIFont" w:hAnsi="AppleSystemUIFont" w:cs="AppleSystemUIFont"/>
          <w:kern w:val="0"/>
          <w:sz w:val="26"/>
          <w:szCs w:val="26"/>
          <w:lang w:val="en-US"/>
        </w:rPr>
        <w:t>5</w:t>
      </w:r>
      <w:r w:rsidR="00256B8B" w:rsidRPr="00256B8B">
        <w:rPr>
          <w:rFonts w:ascii="AppleSystemUIFont" w:hAnsi="AppleSystemUIFont" w:cs="AppleSystemUIFont"/>
          <w:kern w:val="0"/>
          <w:sz w:val="26"/>
          <w:szCs w:val="26"/>
          <w:lang w:val="en-US"/>
        </w:rPr>
        <w:t>]</w:t>
      </w:r>
      <w:r w:rsidR="00A4659D">
        <w:rPr>
          <w:rFonts w:ascii="AppleSystemUIFont" w:hAnsi="AppleSystemUIFont" w:cs="AppleSystemUIFont"/>
          <w:kern w:val="0"/>
          <w:sz w:val="26"/>
          <w:szCs w:val="26"/>
          <w:lang w:val="en-US"/>
        </w:rPr>
        <w:t>. While it would be more directly useful to measure continuing education as measured by UNESCO (</w:t>
      </w:r>
      <w:r w:rsidR="00A4659D" w:rsidRPr="00EA1A9C">
        <w:rPr>
          <w:lang w:val="en-US"/>
        </w:rPr>
        <w:t>Participation rate of youth and adults in formal and non-formal education and training in the previous 12 months</w:t>
      </w:r>
      <w:r w:rsidR="00A4659D">
        <w:rPr>
          <w:rFonts w:ascii="AppleSystemUIFont" w:hAnsi="AppleSystemUIFont" w:cs="AppleSystemUIFont"/>
          <w:kern w:val="0"/>
          <w:sz w:val="26"/>
          <w:szCs w:val="26"/>
          <w:lang w:val="en-US"/>
        </w:rPr>
        <w:t>), but it is a variable for which several countries have no data.</w:t>
      </w:r>
      <w:r>
        <w:rPr>
          <w:lang w:val="en-US"/>
        </w:rPr>
        <w:t xml:space="preserve"> </w:t>
      </w:r>
      <w:r w:rsidR="00A4659D" w:rsidRPr="00F633F0">
        <w:rPr>
          <w:lang w:val="en-US"/>
        </w:rPr>
        <w:t>Inequality</w:t>
      </w:r>
      <w:r>
        <w:rPr>
          <w:b/>
          <w:bCs/>
          <w:lang w:val="en-US"/>
        </w:rPr>
        <w:t xml:space="preserve"> </w:t>
      </w:r>
      <w:r>
        <w:rPr>
          <w:lang w:val="en-US"/>
        </w:rPr>
        <w:t xml:space="preserve">is measured by the </w:t>
      </w:r>
      <w:r w:rsidR="00A4659D" w:rsidRPr="008A611F">
        <w:rPr>
          <w:lang w:val="en-US"/>
        </w:rPr>
        <w:t xml:space="preserve">Gini </w:t>
      </w:r>
      <w:r>
        <w:rPr>
          <w:lang w:val="en-US"/>
        </w:rPr>
        <w:t>index, using data from the World Bank [1</w:t>
      </w:r>
      <w:r w:rsidR="005B5CC9">
        <w:rPr>
          <w:lang w:val="en-US"/>
        </w:rPr>
        <w:t>6</w:t>
      </w:r>
      <w:r>
        <w:rPr>
          <w:lang w:val="en-US"/>
        </w:rPr>
        <w:t>] and the CIA [1</w:t>
      </w:r>
      <w:r w:rsidR="005B5CC9">
        <w:rPr>
          <w:lang w:val="en-US"/>
        </w:rPr>
        <w:t>7</w:t>
      </w:r>
      <w:r>
        <w:rPr>
          <w:lang w:val="en-US"/>
        </w:rPr>
        <w:t>]</w:t>
      </w:r>
      <w:r w:rsidR="00A4659D" w:rsidRPr="008A611F">
        <w:rPr>
          <w:lang w:val="en-US"/>
        </w:rPr>
        <w:t xml:space="preserve">. </w:t>
      </w:r>
      <w:r w:rsidR="00256B8B">
        <w:rPr>
          <w:lang w:val="en-US"/>
        </w:rPr>
        <w:t>This category of vulnerability is part of</w:t>
      </w:r>
      <w:r w:rsidR="00A4659D" w:rsidRPr="008A611F">
        <w:rPr>
          <w:lang w:val="en-US"/>
        </w:rPr>
        <w:t xml:space="preserve"> structural component</w:t>
      </w:r>
      <w:r w:rsidR="00256B8B">
        <w:rPr>
          <w:lang w:val="en-US"/>
        </w:rPr>
        <w:t>s</w:t>
      </w:r>
      <w:r w:rsidR="00A4659D" w:rsidRPr="008A611F">
        <w:rPr>
          <w:lang w:val="en-US"/>
        </w:rPr>
        <w:t>; in more unequal economies, a just transition will be harder to achieve, with the wealthier workforce having the means and support to reskill and the opportunities to find new jobs in growing industries, while less well-off workers will more likely be locked in sunk industries and be left behind.</w:t>
      </w:r>
      <w:r>
        <w:rPr>
          <w:lang w:val="en-US"/>
        </w:rPr>
        <w:t xml:space="preserve"> </w:t>
      </w:r>
      <w:r w:rsidR="00A4659D" w:rsidRPr="00F633F0">
        <w:rPr>
          <w:lang w:val="en-US"/>
        </w:rPr>
        <w:t>Research and development</w:t>
      </w:r>
      <w:r>
        <w:rPr>
          <w:lang w:val="en-US"/>
        </w:rPr>
        <w:t xml:space="preserve"> by</w:t>
      </w:r>
      <w:r w:rsidR="00A4659D" w:rsidRPr="00F633F0">
        <w:rPr>
          <w:lang w:val="en-US"/>
        </w:rPr>
        <w:t xml:space="preserve"> Scientific and </w:t>
      </w:r>
      <w:r>
        <w:rPr>
          <w:lang w:val="en-US"/>
        </w:rPr>
        <w:t>t</w:t>
      </w:r>
      <w:r w:rsidR="00A4659D" w:rsidRPr="008A611F">
        <w:rPr>
          <w:lang w:val="en-US"/>
        </w:rPr>
        <w:t xml:space="preserve">echnical </w:t>
      </w:r>
      <w:r>
        <w:rPr>
          <w:lang w:val="en-US"/>
        </w:rPr>
        <w:t>j</w:t>
      </w:r>
      <w:r w:rsidR="00A4659D" w:rsidRPr="008A611F">
        <w:rPr>
          <w:lang w:val="en-US"/>
        </w:rPr>
        <w:t xml:space="preserve">ournal </w:t>
      </w:r>
      <w:r>
        <w:rPr>
          <w:lang w:val="en-US"/>
        </w:rPr>
        <w:t>a</w:t>
      </w:r>
      <w:r w:rsidR="00A4659D" w:rsidRPr="008A611F">
        <w:rPr>
          <w:lang w:val="en-US"/>
        </w:rPr>
        <w:t xml:space="preserve">rticles per </w:t>
      </w:r>
      <w:r>
        <w:rPr>
          <w:lang w:val="en-US"/>
        </w:rPr>
        <w:t>million inhabitants</w:t>
      </w:r>
      <w:r w:rsidR="00A4659D" w:rsidRPr="008A611F">
        <w:rPr>
          <w:lang w:val="en-US"/>
        </w:rPr>
        <w:t>. A</w:t>
      </w:r>
      <w:r>
        <w:rPr>
          <w:lang w:val="en-US"/>
        </w:rPr>
        <w:t xml:space="preserve">s a </w:t>
      </w:r>
      <w:r w:rsidR="00A4659D" w:rsidRPr="008A611F">
        <w:rPr>
          <w:lang w:val="en-US"/>
        </w:rPr>
        <w:t>structural component of vulnerability</w:t>
      </w:r>
      <w:r>
        <w:rPr>
          <w:lang w:val="en-US"/>
        </w:rPr>
        <w:t>, this variable</w:t>
      </w:r>
      <w:r w:rsidR="00A4659D" w:rsidRPr="008A611F">
        <w:rPr>
          <w:lang w:val="en-US"/>
        </w:rPr>
        <w:t xml:space="preserve"> is aimed at measuring an individual country’s ability at </w:t>
      </w:r>
      <w:r w:rsidRPr="008A611F">
        <w:rPr>
          <w:lang w:val="en-US"/>
        </w:rPr>
        <w:t>creating</w:t>
      </w:r>
      <w:r w:rsidR="00A4659D" w:rsidRPr="008A611F">
        <w:rPr>
          <w:lang w:val="en-US"/>
        </w:rPr>
        <w:t xml:space="preserve"> new jobs and industries and leading the economic transition.</w:t>
      </w:r>
      <w:r>
        <w:rPr>
          <w:lang w:val="en-US"/>
        </w:rPr>
        <w:t xml:space="preserve"> </w:t>
      </w:r>
      <w:r w:rsidR="00A4659D" w:rsidRPr="00F633F0">
        <w:rPr>
          <w:lang w:val="en-US"/>
        </w:rPr>
        <w:t>Government debt</w:t>
      </w:r>
      <w:r>
        <w:rPr>
          <w:lang w:val="en-US"/>
        </w:rPr>
        <w:t xml:space="preserve"> is measured both by</w:t>
      </w:r>
      <w:r w:rsidR="00A4659D" w:rsidRPr="00F633F0">
        <w:rPr>
          <w:lang w:val="en-US"/>
        </w:rPr>
        <w:t xml:space="preserve"> </w:t>
      </w:r>
      <w:r>
        <w:rPr>
          <w:lang w:val="en-US"/>
        </w:rPr>
        <w:t>t</w:t>
      </w:r>
      <w:r w:rsidR="00A4659D" w:rsidRPr="008A611F">
        <w:rPr>
          <w:lang w:val="en-US"/>
        </w:rPr>
        <w:t>otal debt service as % of GNI (reported mostly for global south countries, includes the interest payment), and Central Government debt as % of GDP (reported mostly for global north countries</w:t>
      </w:r>
      <w:r w:rsidR="008A6EA0">
        <w:rPr>
          <w:lang w:val="en-US"/>
        </w:rPr>
        <w:t>), obtained from the World Bank [1</w:t>
      </w:r>
      <w:r w:rsidR="005B5CC9">
        <w:rPr>
          <w:lang w:val="en-US"/>
        </w:rPr>
        <w:t>8</w:t>
      </w:r>
      <w:r w:rsidR="008A6EA0">
        <w:rPr>
          <w:lang w:val="en-US"/>
        </w:rPr>
        <w:t>]</w:t>
      </w:r>
      <w:r w:rsidR="00A4659D" w:rsidRPr="008A611F">
        <w:rPr>
          <w:lang w:val="en-US"/>
        </w:rPr>
        <w:t xml:space="preserve">. </w:t>
      </w:r>
      <w:r w:rsidR="00256B8B">
        <w:rPr>
          <w:lang w:val="en-US"/>
        </w:rPr>
        <w:t>This variable measures a</w:t>
      </w:r>
      <w:r w:rsidR="00A4659D" w:rsidRPr="008A611F">
        <w:rPr>
          <w:lang w:val="en-US"/>
        </w:rPr>
        <w:t xml:space="preserve"> structural component of vulnerability</w:t>
      </w:r>
      <w:r w:rsidR="00256B8B">
        <w:rPr>
          <w:lang w:val="en-US"/>
        </w:rPr>
        <w:t>;</w:t>
      </w:r>
      <w:r w:rsidR="00A4659D" w:rsidRPr="008A611F">
        <w:rPr>
          <w:lang w:val="en-US"/>
        </w:rPr>
        <w:t xml:space="preserve"> </w:t>
      </w:r>
      <w:r w:rsidR="00256B8B">
        <w:rPr>
          <w:lang w:val="en-US"/>
        </w:rPr>
        <w:t xml:space="preserve">it is relevant since </w:t>
      </w:r>
      <w:r w:rsidR="00A4659D" w:rsidRPr="008A611F">
        <w:rPr>
          <w:lang w:val="en-US"/>
        </w:rPr>
        <w:t xml:space="preserve">world governments might be in need to offer buyouts, early retirement packages or otherwise bear the brunt of reskilling costs in order to ensure a just transition for all. </w:t>
      </w:r>
      <w:r w:rsidR="00A4659D" w:rsidRPr="008A6EA0">
        <w:rPr>
          <w:lang w:val="en-US"/>
        </w:rPr>
        <w:t>This will further increase debt burdens.</w:t>
      </w:r>
      <w:r w:rsidR="008A6EA0">
        <w:rPr>
          <w:lang w:val="en-US"/>
        </w:rPr>
        <w:t xml:space="preserve"> The las</w:t>
      </w:r>
      <w:r w:rsidR="0095311F">
        <w:rPr>
          <w:lang w:val="en-US"/>
        </w:rPr>
        <w:t>t</w:t>
      </w:r>
      <w:r w:rsidR="008A6EA0">
        <w:rPr>
          <w:lang w:val="en-US"/>
        </w:rPr>
        <w:t xml:space="preserve"> category, g</w:t>
      </w:r>
      <w:r w:rsidR="00A4659D" w:rsidRPr="008A6EA0">
        <w:rPr>
          <w:lang w:val="en-US"/>
        </w:rPr>
        <w:t>ender</w:t>
      </w:r>
      <w:r w:rsidR="008A6EA0">
        <w:rPr>
          <w:lang w:val="en-US"/>
        </w:rPr>
        <w:t>, is measured using UNDP’s</w:t>
      </w:r>
      <w:r w:rsidR="00A4659D" w:rsidRPr="008A611F">
        <w:rPr>
          <w:lang w:val="en-US"/>
        </w:rPr>
        <w:t xml:space="preserve"> </w:t>
      </w:r>
      <w:r w:rsidR="008A6EA0">
        <w:rPr>
          <w:lang w:val="en-US"/>
        </w:rPr>
        <w:t xml:space="preserve">GII, the </w:t>
      </w:r>
      <w:r w:rsidR="00A4659D" w:rsidRPr="008A611F">
        <w:rPr>
          <w:lang w:val="en-US"/>
        </w:rPr>
        <w:t xml:space="preserve">Gender </w:t>
      </w:r>
      <w:r w:rsidR="008A6EA0">
        <w:rPr>
          <w:lang w:val="en-US"/>
        </w:rPr>
        <w:t>I</w:t>
      </w:r>
      <w:r w:rsidR="00A4659D" w:rsidRPr="008A611F">
        <w:rPr>
          <w:lang w:val="en-US"/>
        </w:rPr>
        <w:t xml:space="preserve">nequality </w:t>
      </w:r>
      <w:r w:rsidR="008A6EA0">
        <w:rPr>
          <w:lang w:val="en-US"/>
        </w:rPr>
        <w:t>I</w:t>
      </w:r>
      <w:r w:rsidR="00A4659D" w:rsidRPr="008A611F">
        <w:rPr>
          <w:lang w:val="en-US"/>
        </w:rPr>
        <w:t>ndex</w:t>
      </w:r>
      <w:r w:rsidR="008A6EA0">
        <w:rPr>
          <w:lang w:val="en-US"/>
        </w:rPr>
        <w:t xml:space="preserve"> [3]</w:t>
      </w:r>
      <w:r w:rsidR="00A4659D" w:rsidRPr="008A611F">
        <w:rPr>
          <w:lang w:val="en-US"/>
        </w:rPr>
        <w:t xml:space="preserve">, measuring female reproductive health and contrasting male and female empowerment and labour market participation. </w:t>
      </w:r>
      <w:r w:rsidR="008A6EA0">
        <w:rPr>
          <w:lang w:val="en-US"/>
        </w:rPr>
        <w:t>As</w:t>
      </w:r>
      <w:r w:rsidR="00A4659D" w:rsidRPr="008A611F">
        <w:rPr>
          <w:lang w:val="en-US"/>
        </w:rPr>
        <w:t xml:space="preserve"> a personal and structural component of vulnerability, it relates to women’s agency and the opportunities they have in the labour market and the government. A more inclusive workforce can be more easily diversified and retrained, and households with more sources of income are less vulnerable to job losses.</w:t>
      </w:r>
    </w:p>
    <w:p w14:paraId="79705CB7" w14:textId="77777777" w:rsidR="00256B8B" w:rsidRDefault="00256B8B" w:rsidP="008A6EA0">
      <w:pPr>
        <w:jc w:val="both"/>
        <w:rPr>
          <w:lang w:val="en-US"/>
        </w:rPr>
      </w:pPr>
    </w:p>
    <w:p w14:paraId="6AB79B19" w14:textId="70267B1C" w:rsidR="00256B8B" w:rsidRDefault="00256B8B" w:rsidP="008A6EA0">
      <w:pPr>
        <w:jc w:val="both"/>
        <w:rPr>
          <w:lang w:val="en-US"/>
        </w:rPr>
      </w:pPr>
      <w:r>
        <w:rPr>
          <w:b/>
          <w:bCs/>
          <w:lang w:val="en-US"/>
        </w:rPr>
        <w:lastRenderedPageBreak/>
        <w:t xml:space="preserve">Index </w:t>
      </w:r>
      <w:r>
        <w:rPr>
          <w:b/>
          <w:bCs/>
          <w:lang w:val="en-US"/>
        </w:rPr>
        <w:t>Results</w:t>
      </w:r>
    </w:p>
    <w:p w14:paraId="00E896D0" w14:textId="66A1DD67" w:rsidR="008A6EA0" w:rsidRDefault="008A6EA0" w:rsidP="008A6EA0">
      <w:pPr>
        <w:jc w:val="both"/>
        <w:rPr>
          <w:lang w:val="en-US"/>
        </w:rPr>
      </w:pPr>
      <w:r>
        <w:rPr>
          <w:lang w:val="en-US"/>
        </w:rPr>
        <w:t xml:space="preserve">Figure 1 represents the Social </w:t>
      </w:r>
      <w:r>
        <w:rPr>
          <w:lang w:val="en-US"/>
        </w:rPr>
        <w:t>vu</w:t>
      </w:r>
      <w:r>
        <w:rPr>
          <w:lang w:val="en-US"/>
        </w:rPr>
        <w:t xml:space="preserve">lnerability </w:t>
      </w:r>
      <w:r>
        <w:rPr>
          <w:lang w:val="en-US"/>
        </w:rPr>
        <w:t>in</w:t>
      </w:r>
      <w:r>
        <w:rPr>
          <w:lang w:val="en-US"/>
        </w:rPr>
        <w:t xml:space="preserve">dex to </w:t>
      </w:r>
      <w:r>
        <w:rPr>
          <w:lang w:val="en-US"/>
        </w:rPr>
        <w:t>climate transition impacts</w:t>
      </w:r>
      <w:r>
        <w:rPr>
          <w:lang w:val="en-US"/>
        </w:rPr>
        <w:t xml:space="preserve">. The 10 most vulnerable countries are </w:t>
      </w:r>
      <w:r>
        <w:rPr>
          <w:lang w:val="en-US"/>
        </w:rPr>
        <w:t>Papua New Guinea</w:t>
      </w:r>
      <w:r>
        <w:rPr>
          <w:lang w:val="en-US"/>
        </w:rPr>
        <w:t xml:space="preserve"> (Index value: 10), </w:t>
      </w:r>
      <w:r>
        <w:rPr>
          <w:lang w:val="en-US"/>
        </w:rPr>
        <w:t>Angola</w:t>
      </w:r>
      <w:r>
        <w:rPr>
          <w:lang w:val="en-US"/>
        </w:rPr>
        <w:t xml:space="preserve"> (</w:t>
      </w:r>
      <w:r>
        <w:rPr>
          <w:lang w:val="en-US"/>
        </w:rPr>
        <w:t>9.</w:t>
      </w:r>
      <w:r w:rsidR="00256B8B">
        <w:rPr>
          <w:lang w:val="en-US"/>
        </w:rPr>
        <w:t>8</w:t>
      </w:r>
      <w:r>
        <w:rPr>
          <w:lang w:val="en-US"/>
        </w:rPr>
        <w:t xml:space="preserve">), </w:t>
      </w:r>
      <w:r>
        <w:rPr>
          <w:lang w:val="en-US"/>
        </w:rPr>
        <w:t>Mozambique</w:t>
      </w:r>
      <w:r>
        <w:rPr>
          <w:lang w:val="en-US"/>
        </w:rPr>
        <w:t xml:space="preserve"> (9.</w:t>
      </w:r>
      <w:r>
        <w:rPr>
          <w:lang w:val="en-US"/>
        </w:rPr>
        <w:t>7</w:t>
      </w:r>
      <w:r>
        <w:rPr>
          <w:lang w:val="en-US"/>
        </w:rPr>
        <w:t xml:space="preserve">), </w:t>
      </w:r>
      <w:r>
        <w:rPr>
          <w:lang w:val="en-US"/>
        </w:rPr>
        <w:t>South Sudan</w:t>
      </w:r>
      <w:r>
        <w:rPr>
          <w:lang w:val="en-US"/>
        </w:rPr>
        <w:t xml:space="preserve"> (</w:t>
      </w:r>
      <w:r>
        <w:rPr>
          <w:lang w:val="en-US"/>
        </w:rPr>
        <w:t>9.5</w:t>
      </w:r>
      <w:r>
        <w:rPr>
          <w:lang w:val="en-US"/>
        </w:rPr>
        <w:t xml:space="preserve">), </w:t>
      </w:r>
      <w:r>
        <w:rPr>
          <w:lang w:val="en-US"/>
        </w:rPr>
        <w:t>Nicaragua</w:t>
      </w:r>
      <w:r>
        <w:rPr>
          <w:lang w:val="en-US"/>
        </w:rPr>
        <w:t xml:space="preserve"> (9.</w:t>
      </w:r>
      <w:r>
        <w:rPr>
          <w:lang w:val="en-US"/>
        </w:rPr>
        <w:t>2</w:t>
      </w:r>
      <w:r>
        <w:rPr>
          <w:lang w:val="en-US"/>
        </w:rPr>
        <w:t xml:space="preserve">), </w:t>
      </w:r>
      <w:r>
        <w:rPr>
          <w:lang w:val="en-US"/>
        </w:rPr>
        <w:t>Lesotho</w:t>
      </w:r>
      <w:r>
        <w:rPr>
          <w:lang w:val="en-US"/>
        </w:rPr>
        <w:t xml:space="preserve"> (</w:t>
      </w:r>
      <w:r>
        <w:rPr>
          <w:lang w:val="en-US"/>
        </w:rPr>
        <w:t>8.9</w:t>
      </w:r>
      <w:r>
        <w:rPr>
          <w:lang w:val="en-US"/>
        </w:rPr>
        <w:t xml:space="preserve">), </w:t>
      </w:r>
      <w:r>
        <w:rPr>
          <w:lang w:val="en-US"/>
        </w:rPr>
        <w:t>Cambodia</w:t>
      </w:r>
      <w:r>
        <w:rPr>
          <w:lang w:val="en-US"/>
        </w:rPr>
        <w:t xml:space="preserve"> (</w:t>
      </w:r>
      <w:r>
        <w:rPr>
          <w:lang w:val="en-US"/>
        </w:rPr>
        <w:t>8.9</w:t>
      </w:r>
      <w:r>
        <w:rPr>
          <w:lang w:val="en-US"/>
        </w:rPr>
        <w:t xml:space="preserve">), </w:t>
      </w:r>
      <w:r>
        <w:rPr>
          <w:lang w:val="en-US"/>
        </w:rPr>
        <w:t>Congo</w:t>
      </w:r>
      <w:r>
        <w:rPr>
          <w:lang w:val="en-US"/>
        </w:rPr>
        <w:t xml:space="preserve"> (</w:t>
      </w:r>
      <w:r>
        <w:rPr>
          <w:lang w:val="en-US"/>
        </w:rPr>
        <w:t>8.8</w:t>
      </w:r>
      <w:r>
        <w:rPr>
          <w:lang w:val="en-US"/>
        </w:rPr>
        <w:t xml:space="preserve">), </w:t>
      </w:r>
      <w:r>
        <w:rPr>
          <w:lang w:val="en-US"/>
        </w:rPr>
        <w:t>Martinique</w:t>
      </w:r>
      <w:r>
        <w:rPr>
          <w:lang w:val="en-US"/>
        </w:rPr>
        <w:t xml:space="preserve"> (</w:t>
      </w:r>
      <w:r>
        <w:rPr>
          <w:lang w:val="en-US"/>
        </w:rPr>
        <w:t>8.8</w:t>
      </w:r>
      <w:r>
        <w:rPr>
          <w:lang w:val="en-US"/>
        </w:rPr>
        <w:t>), and B</w:t>
      </w:r>
      <w:r>
        <w:rPr>
          <w:lang w:val="en-US"/>
        </w:rPr>
        <w:t>ermuda</w:t>
      </w:r>
      <w:r>
        <w:rPr>
          <w:lang w:val="en-US"/>
        </w:rPr>
        <w:t xml:space="preserve"> (</w:t>
      </w:r>
      <w:r>
        <w:rPr>
          <w:lang w:val="en-US"/>
        </w:rPr>
        <w:t>8.7</w:t>
      </w:r>
      <w:r>
        <w:rPr>
          <w:lang w:val="en-US"/>
        </w:rPr>
        <w:t>).</w:t>
      </w:r>
    </w:p>
    <w:p w14:paraId="10E7A4E1" w14:textId="0902F497" w:rsidR="008A6EA0" w:rsidRDefault="003C11DC" w:rsidP="008A6EA0">
      <w:pPr>
        <w:jc w:val="both"/>
        <w:rPr>
          <w:lang w:val="en-US"/>
        </w:rPr>
      </w:pPr>
      <w:r>
        <w:rPr>
          <w:noProof/>
          <w:lang w:val="en-US"/>
        </w:rPr>
        <w:drawing>
          <wp:inline distT="0" distB="0" distL="0" distR="0" wp14:anchorId="516E006C" wp14:editId="53011AF1">
            <wp:extent cx="5612130" cy="2958465"/>
            <wp:effectExtent l="0" t="0" r="1270" b="635"/>
            <wp:docPr id="7449111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11180" name="Imagen 744911180"/>
                    <pic:cNvPicPr/>
                  </pic:nvPicPr>
                  <pic:blipFill>
                    <a:blip r:embed="rId7">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21ACF5ED" w14:textId="2DB779D9" w:rsidR="008A6EA0" w:rsidRDefault="008A6EA0" w:rsidP="008A6EA0">
      <w:pPr>
        <w:jc w:val="both"/>
        <w:rPr>
          <w:lang w:val="en-US"/>
        </w:rPr>
      </w:pPr>
      <w:r w:rsidRPr="00825777">
        <w:rPr>
          <w:lang w:val="en-US"/>
        </w:rPr>
        <w:t xml:space="preserve"> </w:t>
      </w:r>
      <w:r>
        <w:rPr>
          <w:lang w:val="en-US"/>
        </w:rPr>
        <w:t xml:space="preserve">Figure </w:t>
      </w:r>
      <w:r>
        <w:rPr>
          <w:lang w:val="en-US"/>
        </w:rPr>
        <w:t>1</w:t>
      </w:r>
      <w:r>
        <w:rPr>
          <w:lang w:val="en-US"/>
        </w:rPr>
        <w:t>. Social vulnerability to climate transition impacts</w:t>
      </w:r>
    </w:p>
    <w:p w14:paraId="7A1EF69C" w14:textId="77777777" w:rsidR="008A6EA0" w:rsidRDefault="008A6EA0" w:rsidP="008A6EA0">
      <w:pPr>
        <w:jc w:val="both"/>
        <w:rPr>
          <w:lang w:val="en-US"/>
        </w:rPr>
      </w:pPr>
    </w:p>
    <w:p w14:paraId="01A9C684" w14:textId="5CCD17BE" w:rsidR="00256B8B" w:rsidRDefault="00256B8B" w:rsidP="008A6EA0">
      <w:pPr>
        <w:jc w:val="both"/>
        <w:rPr>
          <w:lang w:val="en-US"/>
        </w:rPr>
      </w:pPr>
      <w:r>
        <w:rPr>
          <w:b/>
          <w:bCs/>
          <w:lang w:val="en-US"/>
        </w:rPr>
        <w:t>Workers in vulnerable industries</w:t>
      </w:r>
    </w:p>
    <w:p w14:paraId="7BE69785" w14:textId="4D947A0A" w:rsidR="00BE41D3" w:rsidRDefault="00BE41D3" w:rsidP="00A4659D">
      <w:pPr>
        <w:jc w:val="both"/>
        <w:rPr>
          <w:lang w:val="en-US"/>
        </w:rPr>
      </w:pPr>
      <w:r>
        <w:rPr>
          <w:lang w:val="en-US"/>
        </w:rPr>
        <w:t>As mentioned before, industries like Agriculture and Construction, where most workers work outdoors, will be heavily impacted by extreme weather events, particularly by heat stress [</w:t>
      </w:r>
      <w:r w:rsidR="005B5CC9">
        <w:rPr>
          <w:lang w:val="en-US"/>
        </w:rPr>
        <w:t>19</w:t>
      </w:r>
      <w:r>
        <w:rPr>
          <w:lang w:val="en-US"/>
        </w:rPr>
        <w:t>]. It has short-term impacts, such as heat stroke, and can cause chronic diseases relating to the cardiovascular, respiratory and renal systems. The most vulnerable persons are migrant and informal workers, women and pregnant workers, older workers, and workers with disabilities.</w:t>
      </w:r>
    </w:p>
    <w:p w14:paraId="58176017" w14:textId="430D2B99" w:rsidR="008A6EA0" w:rsidRDefault="00BE41D3" w:rsidP="00A4659D">
      <w:pPr>
        <w:jc w:val="both"/>
        <w:rPr>
          <w:lang w:val="en-US"/>
        </w:rPr>
      </w:pPr>
      <w:r>
        <w:rPr>
          <w:lang w:val="en-US"/>
        </w:rPr>
        <w:t xml:space="preserve">Other industries, like Energy, Manufacturing, and Mining will be deeply changed, requiring new skillsets from workers, as their production is oriented towards a net-zero economy. Defining green jobs is a complex matter, especially since some occupations may not exist yet; there are top-down approaches which consider industries affected by </w:t>
      </w:r>
      <w:r w:rsidR="001F576B">
        <w:rPr>
          <w:lang w:val="en-US"/>
        </w:rPr>
        <w:t>the climate transition, and bottom-up approaches that consider occupations that will most likely change</w:t>
      </w:r>
      <w:r w:rsidR="005B5CC9">
        <w:rPr>
          <w:lang w:val="en-US"/>
        </w:rPr>
        <w:t xml:space="preserve"> [15]</w:t>
      </w:r>
      <w:r w:rsidR="001F576B">
        <w:rPr>
          <w:lang w:val="en-US"/>
        </w:rPr>
        <w:t>. On a global scale, workforce data per industry has more availability than occupation data, so a top-down approach has been selected.</w:t>
      </w:r>
    </w:p>
    <w:p w14:paraId="0A3A4BF0" w14:textId="0803D5D7" w:rsidR="001F576B" w:rsidRDefault="001F576B" w:rsidP="00A4659D">
      <w:pPr>
        <w:jc w:val="both"/>
        <w:rPr>
          <w:lang w:val="en-US"/>
        </w:rPr>
      </w:pPr>
      <w:r>
        <w:rPr>
          <w:lang w:val="en-US"/>
        </w:rPr>
        <w:lastRenderedPageBreak/>
        <w:t xml:space="preserve">Workers have been group into three categories: Workers in sectors subject to physical climate vulnerability (including Agriculture and Construction), workers in sectors subject to transitional climate vulnerability (including Manufacturing, Mining and quarrying, and Electricity, gas, and water supply), and other sectors less vulnerable to climate change (mainly in the service sector, such as Accommodation and Food, and Public Administration). Workers have </w:t>
      </w:r>
      <w:r w:rsidR="00F9492D">
        <w:rPr>
          <w:lang w:val="en-US"/>
        </w:rPr>
        <w:t xml:space="preserve">also </w:t>
      </w:r>
      <w:r>
        <w:rPr>
          <w:lang w:val="en-US"/>
        </w:rPr>
        <w:t xml:space="preserve">been demographically group into total workers, female, above 65 years old, and above 45 years old. </w:t>
      </w:r>
      <w:r w:rsidR="00F9492D">
        <w:rPr>
          <w:lang w:val="en-US"/>
        </w:rPr>
        <w:t>The percentage of the total workforce in sectors subject to physical vulnerability has been compared with the extreme temperature exposure index explained in the climate exposure vulnerability index methodological note.</w:t>
      </w:r>
    </w:p>
    <w:p w14:paraId="40D63ECE" w14:textId="5BD286C0" w:rsidR="001F576B" w:rsidRDefault="001F576B" w:rsidP="00A4659D">
      <w:pPr>
        <w:jc w:val="both"/>
        <w:rPr>
          <w:lang w:val="en-US"/>
        </w:rPr>
      </w:pPr>
      <w:r>
        <w:rPr>
          <w:lang w:val="en-US"/>
        </w:rPr>
        <w:t xml:space="preserve">The countries with the </w:t>
      </w:r>
      <w:r w:rsidR="005D1BEE">
        <w:rPr>
          <w:lang w:val="en-US"/>
        </w:rPr>
        <w:t>largest</w:t>
      </w:r>
      <w:r>
        <w:rPr>
          <w:lang w:val="en-US"/>
        </w:rPr>
        <w:t xml:space="preserve"> % of workers in sectors subject to transitional climate vulnerability are </w:t>
      </w:r>
      <w:r w:rsidR="005D1BEE">
        <w:rPr>
          <w:lang w:val="en-US"/>
        </w:rPr>
        <w:t>Nepal</w:t>
      </w:r>
      <w:r>
        <w:rPr>
          <w:lang w:val="en-US"/>
        </w:rPr>
        <w:t xml:space="preserve"> (</w:t>
      </w:r>
      <w:r w:rsidR="005D1BEE">
        <w:rPr>
          <w:lang w:val="en-US"/>
        </w:rPr>
        <w:t>45.5</w:t>
      </w:r>
      <w:r>
        <w:rPr>
          <w:lang w:val="en-US"/>
        </w:rPr>
        <w:t xml:space="preserve">% workers, transition vulnerability index: 5.5), </w:t>
      </w:r>
      <w:r w:rsidR="005D1BEE">
        <w:rPr>
          <w:lang w:val="en-US"/>
        </w:rPr>
        <w:t>Czechia</w:t>
      </w:r>
      <w:r>
        <w:rPr>
          <w:lang w:val="en-US"/>
        </w:rPr>
        <w:t xml:space="preserve"> (2</w:t>
      </w:r>
      <w:r w:rsidR="005D1BEE">
        <w:rPr>
          <w:lang w:val="en-US"/>
        </w:rPr>
        <w:t>9</w:t>
      </w:r>
      <w:r>
        <w:rPr>
          <w:lang w:val="en-US"/>
        </w:rPr>
        <w:t>.</w:t>
      </w:r>
      <w:r w:rsidR="005D1BEE">
        <w:rPr>
          <w:lang w:val="en-US"/>
        </w:rPr>
        <w:t>1</w:t>
      </w:r>
      <w:r>
        <w:rPr>
          <w:lang w:val="en-US"/>
        </w:rPr>
        <w:t xml:space="preserve">%, </w:t>
      </w:r>
      <w:r w:rsidR="005D1BEE">
        <w:rPr>
          <w:lang w:val="en-US"/>
        </w:rPr>
        <w:t>vulnerability</w:t>
      </w:r>
      <w:r w:rsidR="00FF6795">
        <w:rPr>
          <w:lang w:val="en-US"/>
        </w:rPr>
        <w:t xml:space="preserve"> </w:t>
      </w:r>
      <w:r w:rsidR="005D1BEE">
        <w:rPr>
          <w:lang w:val="en-US"/>
        </w:rPr>
        <w:t>1.8</w:t>
      </w:r>
      <w:r>
        <w:rPr>
          <w:lang w:val="en-US"/>
        </w:rPr>
        <w:t xml:space="preserve">), </w:t>
      </w:r>
      <w:r w:rsidR="005D1BEE">
        <w:rPr>
          <w:lang w:val="en-US"/>
        </w:rPr>
        <w:t>and Lesotho (27.2</w:t>
      </w:r>
      <w:r>
        <w:rPr>
          <w:lang w:val="en-US"/>
        </w:rPr>
        <w:t xml:space="preserve">%, </w:t>
      </w:r>
      <w:r w:rsidR="005D1BEE">
        <w:rPr>
          <w:lang w:val="en-US"/>
        </w:rPr>
        <w:t>vulnerability</w:t>
      </w:r>
      <w:r w:rsidR="00FF6795">
        <w:rPr>
          <w:lang w:val="en-US"/>
        </w:rPr>
        <w:t xml:space="preserve"> </w:t>
      </w:r>
      <w:r w:rsidR="005D1BEE">
        <w:rPr>
          <w:lang w:val="en-US"/>
        </w:rPr>
        <w:t>8.9</w:t>
      </w:r>
      <w:r>
        <w:rPr>
          <w:lang w:val="en-US"/>
        </w:rPr>
        <w:t>)</w:t>
      </w:r>
      <w:r w:rsidR="005D1BEE">
        <w:rPr>
          <w:lang w:val="en-US"/>
        </w:rPr>
        <w:t>, with Nepal and Lesotho being highly vulnerable</w:t>
      </w:r>
      <w:r w:rsidR="00FF6795">
        <w:rPr>
          <w:lang w:val="en-US"/>
        </w:rPr>
        <w:t xml:space="preserve">. </w:t>
      </w:r>
      <w:r w:rsidR="005D1BEE">
        <w:rPr>
          <w:lang w:val="en-US"/>
        </w:rPr>
        <w:t>O</w:t>
      </w:r>
      <w:r w:rsidR="00FF6795">
        <w:rPr>
          <w:lang w:val="en-US"/>
        </w:rPr>
        <w:t>rder</w:t>
      </w:r>
      <w:r w:rsidR="005D1BEE">
        <w:rPr>
          <w:lang w:val="en-US"/>
        </w:rPr>
        <w:t>ed</w:t>
      </w:r>
      <w:r w:rsidR="00FF6795">
        <w:rPr>
          <w:lang w:val="en-US"/>
        </w:rPr>
        <w:t xml:space="preserve"> </w:t>
      </w:r>
      <w:r w:rsidR="005D1BEE">
        <w:rPr>
          <w:lang w:val="en-US"/>
        </w:rPr>
        <w:t>by</w:t>
      </w:r>
      <w:r w:rsidR="00FF6795">
        <w:rPr>
          <w:lang w:val="en-US"/>
        </w:rPr>
        <w:t xml:space="preserve"> social vulnerability</w:t>
      </w:r>
      <w:r w:rsidR="005D1BEE">
        <w:rPr>
          <w:lang w:val="en-US"/>
        </w:rPr>
        <w:t>:</w:t>
      </w:r>
      <w:r w:rsidR="00FF6795">
        <w:rPr>
          <w:lang w:val="en-US"/>
        </w:rPr>
        <w:t xml:space="preserve"> Papua New Guinea (</w:t>
      </w:r>
      <w:r w:rsidR="005D1BEE">
        <w:rPr>
          <w:lang w:val="en-US"/>
        </w:rPr>
        <w:t>3.7</w:t>
      </w:r>
      <w:r w:rsidR="00FF6795">
        <w:rPr>
          <w:lang w:val="en-US"/>
        </w:rPr>
        <w:t xml:space="preserve">%, </w:t>
      </w:r>
      <w:r w:rsidR="005D1BEE">
        <w:rPr>
          <w:lang w:val="en-US"/>
        </w:rPr>
        <w:t xml:space="preserve">vulnerability </w:t>
      </w:r>
      <w:r w:rsidR="00FF6795">
        <w:rPr>
          <w:lang w:val="en-US"/>
        </w:rPr>
        <w:t>10</w:t>
      </w:r>
      <w:r w:rsidR="005D1BEE">
        <w:rPr>
          <w:lang w:val="en-US"/>
        </w:rPr>
        <w:t>.0</w:t>
      </w:r>
      <w:r w:rsidR="00FF6795">
        <w:rPr>
          <w:lang w:val="en-US"/>
        </w:rPr>
        <w:t>), Angola (</w:t>
      </w:r>
      <w:r w:rsidR="005D1BEE">
        <w:rPr>
          <w:lang w:val="en-US"/>
        </w:rPr>
        <w:t>3.5%</w:t>
      </w:r>
      <w:r w:rsidR="00FF6795">
        <w:rPr>
          <w:lang w:val="en-US"/>
        </w:rPr>
        <w:t xml:space="preserve">, </w:t>
      </w:r>
      <w:r w:rsidR="005D1BEE">
        <w:rPr>
          <w:lang w:val="en-US"/>
        </w:rPr>
        <w:t>vulnerability</w:t>
      </w:r>
      <w:r w:rsidR="00FF6795">
        <w:rPr>
          <w:lang w:val="en-US"/>
        </w:rPr>
        <w:t xml:space="preserve"> 9.9), </w:t>
      </w:r>
      <w:r w:rsidR="005D1BEE">
        <w:rPr>
          <w:lang w:val="en-US"/>
        </w:rPr>
        <w:t xml:space="preserve">and </w:t>
      </w:r>
      <w:r w:rsidR="00FF6795">
        <w:rPr>
          <w:lang w:val="en-US"/>
        </w:rPr>
        <w:t>Mozambique (</w:t>
      </w:r>
      <w:r w:rsidR="005D1BEE">
        <w:rPr>
          <w:lang w:val="en-US"/>
        </w:rPr>
        <w:t>4.7</w:t>
      </w:r>
      <w:r w:rsidR="00FF6795">
        <w:rPr>
          <w:lang w:val="en-US"/>
        </w:rPr>
        <w:t xml:space="preserve">%, </w:t>
      </w:r>
      <w:r w:rsidR="005D1BEE">
        <w:rPr>
          <w:lang w:val="en-US"/>
        </w:rPr>
        <w:t>vulnerability</w:t>
      </w:r>
      <w:r w:rsidR="00FF6795">
        <w:rPr>
          <w:lang w:val="en-US"/>
        </w:rPr>
        <w:t xml:space="preserve"> 9.7</w:t>
      </w:r>
      <w:r w:rsidR="005D1BEE">
        <w:rPr>
          <w:lang w:val="en-US"/>
        </w:rPr>
        <w:t>); t</w:t>
      </w:r>
      <w:r w:rsidR="00FF6795">
        <w:rPr>
          <w:lang w:val="en-US"/>
        </w:rPr>
        <w:t xml:space="preserve">hese countries have a small population at risk that will however be exceptionally vulnerable. Regarding the female workforce, the countries with largest </w:t>
      </w:r>
      <w:r w:rsidR="004C6C5B">
        <w:rPr>
          <w:lang w:val="en-US"/>
        </w:rPr>
        <w:t>workforce</w:t>
      </w:r>
      <w:r w:rsidR="00FF6795">
        <w:rPr>
          <w:lang w:val="en-US"/>
        </w:rPr>
        <w:t xml:space="preserve"> at risk are </w:t>
      </w:r>
      <w:r w:rsidR="005D1BEE">
        <w:rPr>
          <w:lang w:val="en-US"/>
        </w:rPr>
        <w:t>Lesotho</w:t>
      </w:r>
      <w:r w:rsidR="00FF6795">
        <w:rPr>
          <w:lang w:val="en-US"/>
        </w:rPr>
        <w:t xml:space="preserve"> (</w:t>
      </w:r>
      <w:r w:rsidR="005D1BEE">
        <w:rPr>
          <w:lang w:val="en-US"/>
        </w:rPr>
        <w:t>16.1</w:t>
      </w:r>
      <w:r w:rsidR="00FF6795">
        <w:rPr>
          <w:lang w:val="en-US"/>
        </w:rPr>
        <w:t>% of total workforce is female and at risk</w:t>
      </w:r>
      <w:r w:rsidR="004C6C5B">
        <w:rPr>
          <w:lang w:val="en-US"/>
        </w:rPr>
        <w:t>,</w:t>
      </w:r>
      <w:r w:rsidR="00FF6795">
        <w:rPr>
          <w:lang w:val="en-US"/>
        </w:rPr>
        <w:t xml:space="preserve"> vulnerability 2.3), </w:t>
      </w:r>
      <w:r w:rsidR="005D1BEE">
        <w:rPr>
          <w:lang w:val="en-US"/>
        </w:rPr>
        <w:t>Tonga</w:t>
      </w:r>
      <w:r w:rsidR="00FF6795">
        <w:rPr>
          <w:lang w:val="en-US"/>
        </w:rPr>
        <w:t xml:space="preserve"> (</w:t>
      </w:r>
      <w:r w:rsidR="005D1BEE">
        <w:rPr>
          <w:lang w:val="en-US"/>
        </w:rPr>
        <w:t>16.1</w:t>
      </w:r>
      <w:r w:rsidR="006E544C">
        <w:rPr>
          <w:lang w:val="en-US"/>
        </w:rPr>
        <w:t xml:space="preserve">%, </w:t>
      </w:r>
      <w:r w:rsidR="005D1BEE">
        <w:rPr>
          <w:lang w:val="en-US"/>
        </w:rPr>
        <w:t>vulnerability</w:t>
      </w:r>
      <w:r w:rsidR="006E544C">
        <w:rPr>
          <w:lang w:val="en-US"/>
        </w:rPr>
        <w:t xml:space="preserve"> </w:t>
      </w:r>
      <w:r w:rsidR="005D1BEE">
        <w:rPr>
          <w:lang w:val="en-US"/>
        </w:rPr>
        <w:t>3.9</w:t>
      </w:r>
      <w:r w:rsidR="006E544C">
        <w:rPr>
          <w:lang w:val="en-US"/>
        </w:rPr>
        <w:t>)</w:t>
      </w:r>
      <w:r w:rsidR="004C6C5B">
        <w:rPr>
          <w:lang w:val="en-US"/>
        </w:rPr>
        <w:t>, and Nepal (12.3%, vulnerability 5.5)</w:t>
      </w:r>
      <w:r w:rsidR="005D1BEE">
        <w:rPr>
          <w:lang w:val="en-US"/>
        </w:rPr>
        <w:t>; Tonga and Lesotho’s workforce at risk is primarily female.</w:t>
      </w:r>
    </w:p>
    <w:p w14:paraId="6D1CFB3C" w14:textId="0B78F05E" w:rsidR="005D1BEE" w:rsidRDefault="005D1BEE" w:rsidP="005D1BEE">
      <w:pPr>
        <w:jc w:val="both"/>
        <w:rPr>
          <w:lang w:val="en-US"/>
        </w:rPr>
      </w:pPr>
      <w:r>
        <w:rPr>
          <w:lang w:val="en-US"/>
        </w:rPr>
        <w:t xml:space="preserve">The countries with the largest % of workers in sectors subject to </w:t>
      </w:r>
      <w:r>
        <w:rPr>
          <w:lang w:val="en-US"/>
        </w:rPr>
        <w:t>physical</w:t>
      </w:r>
      <w:r>
        <w:rPr>
          <w:lang w:val="en-US"/>
        </w:rPr>
        <w:t xml:space="preserve"> climate vulnerability are </w:t>
      </w:r>
      <w:r>
        <w:rPr>
          <w:lang w:val="en-US"/>
        </w:rPr>
        <w:t>Burundi</w:t>
      </w:r>
      <w:r>
        <w:rPr>
          <w:lang w:val="en-US"/>
        </w:rPr>
        <w:t xml:space="preserve"> (</w:t>
      </w:r>
      <w:r>
        <w:rPr>
          <w:lang w:val="en-US"/>
        </w:rPr>
        <w:t>86.4</w:t>
      </w:r>
      <w:r>
        <w:rPr>
          <w:lang w:val="en-US"/>
        </w:rPr>
        <w:t xml:space="preserve">% workers, </w:t>
      </w:r>
      <w:r>
        <w:rPr>
          <w:lang w:val="en-US"/>
        </w:rPr>
        <w:t>physical</w:t>
      </w:r>
      <w:r>
        <w:rPr>
          <w:lang w:val="en-US"/>
        </w:rPr>
        <w:t xml:space="preserve"> vulnerability index: </w:t>
      </w:r>
      <w:r>
        <w:rPr>
          <w:lang w:val="en-US"/>
        </w:rPr>
        <w:t>9.4, extreme temperature exposure index: 0.13</w:t>
      </w:r>
      <w:r>
        <w:rPr>
          <w:lang w:val="en-US"/>
        </w:rPr>
        <w:t xml:space="preserve">), </w:t>
      </w:r>
      <w:r>
        <w:rPr>
          <w:lang w:val="en-US"/>
        </w:rPr>
        <w:t>Mozambique</w:t>
      </w:r>
      <w:r>
        <w:rPr>
          <w:lang w:val="en-US"/>
        </w:rPr>
        <w:t xml:space="preserve"> (</w:t>
      </w:r>
      <w:r>
        <w:rPr>
          <w:lang w:val="en-US"/>
        </w:rPr>
        <w:t>75.1</w:t>
      </w:r>
      <w:r>
        <w:rPr>
          <w:lang w:val="en-US"/>
        </w:rPr>
        <w:t xml:space="preserve">%, vulnerability </w:t>
      </w:r>
      <w:r>
        <w:rPr>
          <w:lang w:val="en-US"/>
        </w:rPr>
        <w:t>8.9, exposure 6.1</w:t>
      </w:r>
      <w:r>
        <w:rPr>
          <w:lang w:val="en-US"/>
        </w:rPr>
        <w:t xml:space="preserve">), and </w:t>
      </w:r>
      <w:r>
        <w:rPr>
          <w:lang w:val="en-US"/>
        </w:rPr>
        <w:t>Lao People’s Democratic Republic</w:t>
      </w:r>
      <w:r>
        <w:rPr>
          <w:lang w:val="en-US"/>
        </w:rPr>
        <w:t xml:space="preserve"> (</w:t>
      </w:r>
      <w:r>
        <w:rPr>
          <w:lang w:val="en-US"/>
        </w:rPr>
        <w:t>73.0</w:t>
      </w:r>
      <w:r>
        <w:rPr>
          <w:lang w:val="en-US"/>
        </w:rPr>
        <w:t xml:space="preserve">%, vulnerability </w:t>
      </w:r>
      <w:r>
        <w:rPr>
          <w:lang w:val="en-US"/>
        </w:rPr>
        <w:t>6.</w:t>
      </w:r>
      <w:r w:rsidR="004C6C5B">
        <w:rPr>
          <w:lang w:val="en-US"/>
        </w:rPr>
        <w:t>7, exposure, 6.7</w:t>
      </w:r>
      <w:r>
        <w:rPr>
          <w:lang w:val="en-US"/>
        </w:rPr>
        <w:t xml:space="preserve">), with </w:t>
      </w:r>
      <w:r w:rsidR="004C6C5B">
        <w:rPr>
          <w:lang w:val="en-US"/>
        </w:rPr>
        <w:t>Mozambique and Lao</w:t>
      </w:r>
      <w:r>
        <w:rPr>
          <w:lang w:val="en-US"/>
        </w:rPr>
        <w:t xml:space="preserve"> being highly vulnerable</w:t>
      </w:r>
      <w:r w:rsidR="004C6C5B">
        <w:rPr>
          <w:lang w:val="en-US"/>
        </w:rPr>
        <w:t xml:space="preserve"> and exposed</w:t>
      </w:r>
      <w:r>
        <w:rPr>
          <w:lang w:val="en-US"/>
        </w:rPr>
        <w:t xml:space="preserve">. Ordered by social vulnerability: </w:t>
      </w:r>
      <w:r w:rsidR="004C6C5B">
        <w:rPr>
          <w:lang w:val="en-US"/>
        </w:rPr>
        <w:t>Chad</w:t>
      </w:r>
      <w:r>
        <w:rPr>
          <w:lang w:val="en-US"/>
        </w:rPr>
        <w:t xml:space="preserve"> (</w:t>
      </w:r>
      <w:r w:rsidR="004C6C5B">
        <w:rPr>
          <w:lang w:val="en-US"/>
        </w:rPr>
        <w:t>71.9</w:t>
      </w:r>
      <w:r>
        <w:rPr>
          <w:lang w:val="en-US"/>
        </w:rPr>
        <w:t>%, vulnerability 10.0</w:t>
      </w:r>
      <w:r w:rsidR="004C6C5B">
        <w:rPr>
          <w:lang w:val="en-US"/>
        </w:rPr>
        <w:t>, exposure 9.1</w:t>
      </w:r>
      <w:r>
        <w:rPr>
          <w:lang w:val="en-US"/>
        </w:rPr>
        <w:t xml:space="preserve">), </w:t>
      </w:r>
      <w:r w:rsidR="004C6C5B">
        <w:rPr>
          <w:lang w:val="en-US"/>
        </w:rPr>
        <w:t>Niger</w:t>
      </w:r>
      <w:r>
        <w:rPr>
          <w:lang w:val="en-US"/>
        </w:rPr>
        <w:t xml:space="preserve"> (</w:t>
      </w:r>
      <w:r w:rsidR="004C6C5B">
        <w:rPr>
          <w:lang w:val="en-US"/>
        </w:rPr>
        <w:t>33.1</w:t>
      </w:r>
      <w:r>
        <w:rPr>
          <w:lang w:val="en-US"/>
        </w:rPr>
        <w:t>%, vulnerability 9.9</w:t>
      </w:r>
      <w:r w:rsidR="004C6C5B">
        <w:rPr>
          <w:lang w:val="en-US"/>
        </w:rPr>
        <w:t>, exposure 9.3</w:t>
      </w:r>
      <w:r>
        <w:rPr>
          <w:lang w:val="en-US"/>
        </w:rPr>
        <w:t xml:space="preserve">), and </w:t>
      </w:r>
      <w:r w:rsidR="004C6C5B">
        <w:rPr>
          <w:lang w:val="en-US"/>
        </w:rPr>
        <w:t>Somalia</w:t>
      </w:r>
      <w:r>
        <w:rPr>
          <w:lang w:val="en-US"/>
        </w:rPr>
        <w:t xml:space="preserve"> (</w:t>
      </w:r>
      <w:r w:rsidR="004C6C5B">
        <w:rPr>
          <w:lang w:val="en-US"/>
        </w:rPr>
        <w:t>29.7</w:t>
      </w:r>
      <w:r>
        <w:rPr>
          <w:lang w:val="en-US"/>
        </w:rPr>
        <w:t>%, vulnerability 9.</w:t>
      </w:r>
      <w:r w:rsidR="004C6C5B">
        <w:rPr>
          <w:lang w:val="en-US"/>
        </w:rPr>
        <w:t>6, exposure 8.6</w:t>
      </w:r>
      <w:r>
        <w:rPr>
          <w:lang w:val="en-US"/>
        </w:rPr>
        <w:t xml:space="preserve">); these countries have </w:t>
      </w:r>
      <w:r w:rsidR="004C6C5B">
        <w:rPr>
          <w:lang w:val="en-US"/>
        </w:rPr>
        <w:t>a large</w:t>
      </w:r>
      <w:r>
        <w:rPr>
          <w:lang w:val="en-US"/>
        </w:rPr>
        <w:t xml:space="preserve"> </w:t>
      </w:r>
      <w:r w:rsidR="004C6C5B">
        <w:rPr>
          <w:lang w:val="en-US"/>
        </w:rPr>
        <w:t>workforce</w:t>
      </w:r>
      <w:r>
        <w:rPr>
          <w:lang w:val="en-US"/>
        </w:rPr>
        <w:t xml:space="preserve"> </w:t>
      </w:r>
      <w:r w:rsidR="004C6C5B">
        <w:rPr>
          <w:lang w:val="en-US"/>
        </w:rPr>
        <w:t xml:space="preserve">that </w:t>
      </w:r>
      <w:r>
        <w:rPr>
          <w:lang w:val="en-US"/>
        </w:rPr>
        <w:t xml:space="preserve">will be exceptionally vulnerable. </w:t>
      </w:r>
      <w:r w:rsidR="004C6C5B">
        <w:rPr>
          <w:lang w:val="en-US"/>
        </w:rPr>
        <w:t xml:space="preserve">Ordered by </w:t>
      </w:r>
      <w:r w:rsidR="004C6C5B">
        <w:rPr>
          <w:lang w:val="en-US"/>
        </w:rPr>
        <w:t>extreme temperature</w:t>
      </w:r>
      <w:r w:rsidR="004C6C5B">
        <w:rPr>
          <w:lang w:val="en-US"/>
        </w:rPr>
        <w:t xml:space="preserve"> </w:t>
      </w:r>
      <w:r w:rsidR="004C6C5B">
        <w:rPr>
          <w:lang w:val="en-US"/>
        </w:rPr>
        <w:t>exposure</w:t>
      </w:r>
      <w:r w:rsidR="004C6C5B">
        <w:rPr>
          <w:lang w:val="en-US"/>
        </w:rPr>
        <w:t xml:space="preserve">: </w:t>
      </w:r>
      <w:r w:rsidR="004C6C5B">
        <w:rPr>
          <w:lang w:val="en-US"/>
        </w:rPr>
        <w:t>Cambodia</w:t>
      </w:r>
      <w:r>
        <w:rPr>
          <w:lang w:val="en-US"/>
        </w:rPr>
        <w:t xml:space="preserve"> (</w:t>
      </w:r>
      <w:r w:rsidR="004C6C5B">
        <w:rPr>
          <w:lang w:val="en-US"/>
        </w:rPr>
        <w:t>46.3</w:t>
      </w:r>
      <w:r>
        <w:rPr>
          <w:lang w:val="en-US"/>
        </w:rPr>
        <w:t>%, vulnerability</w:t>
      </w:r>
      <w:r w:rsidR="004C6C5B">
        <w:rPr>
          <w:lang w:val="en-US"/>
        </w:rPr>
        <w:t xml:space="preserve"> 7.04, exposure 9.9</w:t>
      </w:r>
      <w:r>
        <w:rPr>
          <w:lang w:val="en-US"/>
        </w:rPr>
        <w:t xml:space="preserve">), </w:t>
      </w:r>
      <w:r w:rsidR="004C6C5B">
        <w:rPr>
          <w:lang w:val="en-US"/>
        </w:rPr>
        <w:t xml:space="preserve">Burkina Faso (30.5%, vulnerability 9.2, exposure 9.9), </w:t>
      </w:r>
      <w:r>
        <w:rPr>
          <w:lang w:val="en-US"/>
        </w:rPr>
        <w:t xml:space="preserve">and </w:t>
      </w:r>
      <w:r w:rsidR="004C6C5B">
        <w:rPr>
          <w:lang w:val="en-US"/>
        </w:rPr>
        <w:t>Senegal</w:t>
      </w:r>
      <w:r>
        <w:rPr>
          <w:lang w:val="en-US"/>
        </w:rPr>
        <w:t xml:space="preserve"> (</w:t>
      </w:r>
      <w:r w:rsidR="004C6C5B">
        <w:rPr>
          <w:lang w:val="en-US"/>
        </w:rPr>
        <w:t>37.8</w:t>
      </w:r>
      <w:r>
        <w:rPr>
          <w:lang w:val="en-US"/>
        </w:rPr>
        <w:t xml:space="preserve">%, vulnerability </w:t>
      </w:r>
      <w:r w:rsidR="004C6C5B">
        <w:rPr>
          <w:lang w:val="en-US"/>
        </w:rPr>
        <w:t>7.8, exposure 9.8</w:t>
      </w:r>
      <w:r>
        <w:rPr>
          <w:lang w:val="en-US"/>
        </w:rPr>
        <w:t xml:space="preserve">); </w:t>
      </w:r>
      <w:r w:rsidR="004C6C5B">
        <w:rPr>
          <w:lang w:val="en-US"/>
        </w:rPr>
        <w:t xml:space="preserve">these countries </w:t>
      </w:r>
      <w:r w:rsidR="004C6C5B">
        <w:rPr>
          <w:lang w:val="en-US"/>
        </w:rPr>
        <w:t xml:space="preserve">a large </w:t>
      </w:r>
      <w:r w:rsidR="004C6C5B">
        <w:rPr>
          <w:lang w:val="en-US"/>
        </w:rPr>
        <w:t>workforce</w:t>
      </w:r>
      <w:r w:rsidR="004C6C5B">
        <w:rPr>
          <w:lang w:val="en-US"/>
        </w:rPr>
        <w:t xml:space="preserve"> that will be exceptionally </w:t>
      </w:r>
      <w:r w:rsidR="004C6C5B">
        <w:rPr>
          <w:lang w:val="en-US"/>
        </w:rPr>
        <w:t xml:space="preserve">exposed to extreme temperatures. </w:t>
      </w:r>
      <w:r w:rsidR="004C6C5B">
        <w:rPr>
          <w:lang w:val="en-US"/>
        </w:rPr>
        <w:t>Regarding the female workforce, the countries with largest workforce at risk are</w:t>
      </w:r>
      <w:r w:rsidR="004C6C5B">
        <w:rPr>
          <w:lang w:val="en-US"/>
        </w:rPr>
        <w:t xml:space="preserve"> Burundi </w:t>
      </w:r>
      <w:r w:rsidR="00F9492D">
        <w:rPr>
          <w:lang w:val="en-US"/>
        </w:rPr>
        <w:t>(51.1</w:t>
      </w:r>
      <w:r w:rsidR="004C6C5B">
        <w:rPr>
          <w:lang w:val="en-US"/>
        </w:rPr>
        <w:t>% of total workforce is female and at risk, vulnerability</w:t>
      </w:r>
      <w:r w:rsidR="00F9492D">
        <w:rPr>
          <w:lang w:val="en-US"/>
        </w:rPr>
        <w:t>: 9.4</w:t>
      </w:r>
      <w:r w:rsidR="004C6C5B">
        <w:rPr>
          <w:lang w:val="en-US"/>
        </w:rPr>
        <w:t>, exposure</w:t>
      </w:r>
      <w:r w:rsidR="00F9492D">
        <w:rPr>
          <w:lang w:val="en-US"/>
        </w:rPr>
        <w:t>:</w:t>
      </w:r>
      <w:r w:rsidR="004C6C5B">
        <w:rPr>
          <w:lang w:val="en-US"/>
        </w:rPr>
        <w:t xml:space="preserve"> </w:t>
      </w:r>
      <w:r w:rsidR="00F9492D">
        <w:rPr>
          <w:lang w:val="en-US"/>
        </w:rPr>
        <w:t>0.1</w:t>
      </w:r>
      <w:r w:rsidR="004C6C5B">
        <w:rPr>
          <w:lang w:val="en-US"/>
        </w:rPr>
        <w:t>),</w:t>
      </w:r>
      <w:r w:rsidR="00F9492D">
        <w:rPr>
          <w:lang w:val="en-US"/>
        </w:rPr>
        <w:t xml:space="preserve"> Mozambique (43.2%, vulnerability: 8.9, exposure: 6.2), and Uganda (35.2%, vulnerability: 8.9, exposure: 3.2); while Burundi and Uganda aren’t highly exposed, the majority of the exposed workforce is female.</w:t>
      </w:r>
    </w:p>
    <w:p w14:paraId="00321DF4" w14:textId="2412D2DB" w:rsidR="00FF6795" w:rsidRDefault="00FF6795" w:rsidP="00FF6795">
      <w:pPr>
        <w:jc w:val="both"/>
        <w:rPr>
          <w:lang w:val="en-US"/>
        </w:rPr>
      </w:pPr>
    </w:p>
    <w:p w14:paraId="4303B48B" w14:textId="77777777" w:rsidR="00FF6795" w:rsidRDefault="00FF6795" w:rsidP="00A4659D">
      <w:pPr>
        <w:jc w:val="both"/>
        <w:rPr>
          <w:lang w:val="en-US"/>
        </w:rPr>
      </w:pPr>
    </w:p>
    <w:p w14:paraId="67C3FE81" w14:textId="77777777" w:rsidR="00F633F0" w:rsidRPr="003B24DF" w:rsidRDefault="00F633F0" w:rsidP="00F633F0">
      <w:pPr>
        <w:jc w:val="both"/>
        <w:rPr>
          <w:b/>
          <w:bCs/>
          <w:lang w:val="en-US"/>
        </w:rPr>
      </w:pPr>
      <w:r w:rsidRPr="003B24DF">
        <w:rPr>
          <w:b/>
          <w:bCs/>
          <w:lang w:val="en-US"/>
        </w:rPr>
        <w:t>References</w:t>
      </w:r>
    </w:p>
    <w:p w14:paraId="78866A15" w14:textId="45F3C75E" w:rsidR="00A4659D" w:rsidRPr="00F633F0" w:rsidRDefault="005B5CC9" w:rsidP="00F633F0">
      <w:pPr>
        <w:pStyle w:val="Prrafodelista"/>
        <w:numPr>
          <w:ilvl w:val="0"/>
          <w:numId w:val="2"/>
        </w:numPr>
        <w:jc w:val="both"/>
        <w:rPr>
          <w:rStyle w:val="Hipervnculo"/>
          <w:color w:val="auto"/>
          <w:u w:val="none"/>
          <w:lang w:val="en-US"/>
        </w:rPr>
      </w:pPr>
      <w:r>
        <w:rPr>
          <w:lang w:val="en-US"/>
        </w:rPr>
        <w:t xml:space="preserve">Rosemberg, A. (2010). </w:t>
      </w:r>
      <w:r w:rsidRPr="005B5CC9">
        <w:rPr>
          <w:lang w:val="en-US"/>
        </w:rPr>
        <w:t>Building a just transition</w:t>
      </w:r>
      <w:r>
        <w:rPr>
          <w:lang w:val="en-US"/>
        </w:rPr>
        <w:t xml:space="preserve">: the linkages between climate change and employment. International journal of labour research. </w:t>
      </w:r>
      <w:hyperlink r:id="rId8" w:history="1">
        <w:r w:rsidRPr="00E21017">
          <w:rPr>
            <w:rStyle w:val="Hipervnculo"/>
            <w:lang w:val="en-US"/>
          </w:rPr>
          <w:t>https://researc</w:t>
        </w:r>
        <w:r w:rsidRPr="00E21017">
          <w:rPr>
            <w:rStyle w:val="Hipervnculo"/>
            <w:lang w:val="en-US"/>
          </w:rPr>
          <w:t>h</w:t>
        </w:r>
        <w:r w:rsidRPr="00E21017">
          <w:rPr>
            <w:rStyle w:val="Hipervnculo"/>
            <w:lang w:val="en-US"/>
          </w:rPr>
          <w:t>repository.ilo.org/esploro/outputs/995319441202676</w:t>
        </w:r>
      </w:hyperlink>
    </w:p>
    <w:p w14:paraId="7AF2B901" w14:textId="05717476" w:rsidR="0027717F" w:rsidRPr="0027717F" w:rsidRDefault="0027717F" w:rsidP="0027717F">
      <w:pPr>
        <w:pStyle w:val="Prrafodelista"/>
        <w:numPr>
          <w:ilvl w:val="0"/>
          <w:numId w:val="2"/>
        </w:numPr>
        <w:jc w:val="both"/>
        <w:rPr>
          <w:rStyle w:val="Hipervnculo"/>
          <w:color w:val="auto"/>
          <w:u w:val="none"/>
        </w:rPr>
      </w:pPr>
      <w:r w:rsidRPr="0027717F">
        <w:rPr>
          <w:rStyle w:val="Hipervnculo"/>
          <w:color w:val="auto"/>
          <w:u w:val="none"/>
        </w:rPr>
        <w:t xml:space="preserve">Ghaleigh, N. S. (2019). Just Transitions for Workers: When Climate Change Met Labour Justice. SSRN Electronic Journal. </w:t>
      </w:r>
      <w:hyperlink r:id="rId9" w:history="1">
        <w:r w:rsidRPr="0027717F">
          <w:rPr>
            <w:rStyle w:val="Hipervnculo"/>
            <w:lang w:val="en-US"/>
          </w:rPr>
          <w:t>https://doi.org/10.2139/ssrn.3456148</w:t>
        </w:r>
      </w:hyperlink>
    </w:p>
    <w:p w14:paraId="219C0709" w14:textId="77777777" w:rsidR="00F633F0" w:rsidRDefault="00F633F0" w:rsidP="00F633F0">
      <w:pPr>
        <w:pStyle w:val="Prrafodelista"/>
        <w:numPr>
          <w:ilvl w:val="0"/>
          <w:numId w:val="2"/>
        </w:numPr>
        <w:jc w:val="both"/>
        <w:rPr>
          <w:rStyle w:val="Hipervnculo"/>
          <w:color w:val="auto"/>
          <w:u w:val="none"/>
          <w:lang w:val="en-US"/>
        </w:rPr>
      </w:pPr>
      <w:r w:rsidRPr="00F633F0">
        <w:rPr>
          <w:rStyle w:val="Hipervnculo"/>
          <w:color w:val="auto"/>
          <w:u w:val="none"/>
        </w:rPr>
        <w:t xml:space="preserve">Barrett, J. (2001). Worker transition &amp; Global climate change. </w:t>
      </w:r>
      <w:r w:rsidRPr="00F633F0">
        <w:rPr>
          <w:rStyle w:val="Hipervnculo"/>
          <w:color w:val="auto"/>
          <w:u w:val="none"/>
          <w:lang w:val="en-US"/>
        </w:rPr>
        <w:t>Pew Center on Global Climate Change</w:t>
      </w:r>
    </w:p>
    <w:p w14:paraId="1B589652" w14:textId="5CDC0BFD" w:rsidR="0027717F" w:rsidRDefault="0027717F" w:rsidP="00F633F0">
      <w:pPr>
        <w:pStyle w:val="Prrafodelista"/>
        <w:numPr>
          <w:ilvl w:val="0"/>
          <w:numId w:val="2"/>
        </w:numPr>
        <w:jc w:val="both"/>
        <w:rPr>
          <w:rStyle w:val="Hipervnculo"/>
          <w:color w:val="auto"/>
          <w:u w:val="none"/>
          <w:lang w:val="en-US"/>
        </w:rPr>
      </w:pPr>
      <w:r w:rsidRPr="0027717F">
        <w:rPr>
          <w:rStyle w:val="Hipervnculo"/>
          <w:color w:val="auto"/>
          <w:u w:val="none"/>
          <w:lang w:val="en-US"/>
        </w:rPr>
        <w:t xml:space="preserve">Upham, P., Kivimaa, P., Mickwitz, P., &amp; Åstrand, K. (2014). Climate policy innovation: A sociotechnical transitions perspective. Environmental Politics, 23(5), 774–794. </w:t>
      </w:r>
      <w:hyperlink r:id="rId10" w:history="1">
        <w:r w:rsidRPr="00E21017">
          <w:rPr>
            <w:rStyle w:val="Hipervnculo"/>
            <w:lang w:val="en-US"/>
          </w:rPr>
          <w:t>https://doi.org/10.1080/09644016.2014.923632</w:t>
        </w:r>
      </w:hyperlink>
    </w:p>
    <w:p w14:paraId="0B3895EE" w14:textId="5FDFDEB4" w:rsidR="005B5CC9" w:rsidRDefault="005B5CC9" w:rsidP="00F633F0">
      <w:pPr>
        <w:pStyle w:val="Prrafodelista"/>
        <w:numPr>
          <w:ilvl w:val="0"/>
          <w:numId w:val="2"/>
        </w:numPr>
        <w:jc w:val="both"/>
        <w:rPr>
          <w:lang w:val="en-US"/>
        </w:rPr>
      </w:pPr>
      <w:r w:rsidRPr="005B5CC9">
        <w:rPr>
          <w:lang w:val="en-US"/>
        </w:rPr>
        <w:t xml:space="preserve">Moda HM, Filho WL, Minhas A. Impacts of Climate Change on Outdoor Workers and Their Safety: Some Research Priorities. </w:t>
      </w:r>
      <w:r w:rsidRPr="005B5CC9">
        <w:rPr>
          <w:rStyle w:val="nfasis"/>
          <w:lang w:val="en-US"/>
        </w:rPr>
        <w:t>International Journal of Environmental Research and Public Health</w:t>
      </w:r>
      <w:r w:rsidRPr="005B5CC9">
        <w:rPr>
          <w:lang w:val="en-US"/>
        </w:rPr>
        <w:t xml:space="preserve">. 2019; 16(18):3458. </w:t>
      </w:r>
      <w:hyperlink r:id="rId11" w:history="1">
        <w:r w:rsidRPr="00E21017">
          <w:rPr>
            <w:rStyle w:val="Hipervnculo"/>
            <w:lang w:val="en-US"/>
          </w:rPr>
          <w:t>https://doi.org/10.3390/ijerph16183458</w:t>
        </w:r>
      </w:hyperlink>
      <w:r w:rsidRPr="005B5CC9">
        <w:rPr>
          <w:lang w:val="en-US"/>
        </w:rPr>
        <w:t xml:space="preserve"> </w:t>
      </w:r>
    </w:p>
    <w:p w14:paraId="5CFE84D8" w14:textId="1ED27754" w:rsidR="005B5CC9" w:rsidRDefault="005B5CC9" w:rsidP="00F633F0">
      <w:pPr>
        <w:pStyle w:val="Prrafodelista"/>
        <w:numPr>
          <w:ilvl w:val="0"/>
          <w:numId w:val="2"/>
        </w:numPr>
        <w:jc w:val="both"/>
        <w:rPr>
          <w:rStyle w:val="Hipervnculo"/>
          <w:color w:val="auto"/>
          <w:u w:val="none"/>
          <w:lang w:val="en-US"/>
        </w:rPr>
      </w:pPr>
      <w:r w:rsidRPr="005B5CC9">
        <w:rPr>
          <w:rStyle w:val="Hipervnculo"/>
          <w:color w:val="auto"/>
          <w:u w:val="none"/>
          <w:lang w:val="en-US"/>
        </w:rPr>
        <w:t xml:space="preserve">Lieu, J., Hanger-Kopp, S., van Vliet, O., &amp; Sorman, A. H. (2020). Assessing risks of low-carbon transition pathways [Application/pdf]. 10 p. </w:t>
      </w:r>
      <w:hyperlink r:id="rId12" w:history="1">
        <w:r w:rsidRPr="00E21017">
          <w:rPr>
            <w:rStyle w:val="Hipervnculo"/>
            <w:lang w:val="en-US"/>
          </w:rPr>
          <w:t>https://doi.org/10.3929/ETHZ-B-000424345</w:t>
        </w:r>
      </w:hyperlink>
    </w:p>
    <w:p w14:paraId="4D039E7C" w14:textId="6835283B" w:rsidR="005B5CC9" w:rsidRDefault="005B5CC9" w:rsidP="00F633F0">
      <w:pPr>
        <w:pStyle w:val="Prrafodelista"/>
        <w:numPr>
          <w:ilvl w:val="0"/>
          <w:numId w:val="2"/>
        </w:numPr>
        <w:jc w:val="both"/>
        <w:rPr>
          <w:rStyle w:val="Hipervnculo"/>
          <w:color w:val="auto"/>
          <w:u w:val="none"/>
          <w:lang w:val="en-US"/>
        </w:rPr>
      </w:pPr>
      <w:r w:rsidRPr="005B5CC9">
        <w:rPr>
          <w:rStyle w:val="Hipervnculo"/>
          <w:color w:val="auto"/>
          <w:u w:val="none"/>
          <w:lang w:val="en-US"/>
        </w:rPr>
        <w:t xml:space="preserve">Andres, P., Mealy, P., Handler, N., &amp; Fankhauser, S. (2023). Stranded nations? Transition risks and opportunities towards a clean economy. Environmental Research Letters, 18(4), 045004. </w:t>
      </w:r>
      <w:hyperlink r:id="rId13" w:history="1">
        <w:r w:rsidRPr="00E21017">
          <w:rPr>
            <w:rStyle w:val="Hipervnculo"/>
            <w:lang w:val="en-US"/>
          </w:rPr>
          <w:t>https://doi.org/10.1088/1748-9326/acc347</w:t>
        </w:r>
      </w:hyperlink>
    </w:p>
    <w:p w14:paraId="0A5EC75B" w14:textId="19AD259D" w:rsidR="005B5CC9" w:rsidRDefault="005B5CC9" w:rsidP="00F633F0">
      <w:pPr>
        <w:pStyle w:val="Prrafodelista"/>
        <w:numPr>
          <w:ilvl w:val="0"/>
          <w:numId w:val="2"/>
        </w:numPr>
        <w:jc w:val="both"/>
        <w:rPr>
          <w:rStyle w:val="Hipervnculo"/>
          <w:color w:val="auto"/>
          <w:u w:val="none"/>
          <w:lang w:val="en-US"/>
        </w:rPr>
      </w:pPr>
      <w:r w:rsidRPr="005B5CC9">
        <w:rPr>
          <w:rStyle w:val="Hipervnculo"/>
          <w:color w:val="auto"/>
          <w:u w:val="none"/>
          <w:lang w:val="en-US"/>
        </w:rPr>
        <w:t xml:space="preserve">Fenske, R. A., &amp; Pinkerton, K. E. (2021). Climate Change and the Amplification of Agricultural Worker Health Risks. Journal of Agromedicine, 26(1), 15–17. </w:t>
      </w:r>
      <w:hyperlink r:id="rId14" w:history="1">
        <w:r w:rsidRPr="00E21017">
          <w:rPr>
            <w:rStyle w:val="Hipervnculo"/>
            <w:lang w:val="en-US"/>
          </w:rPr>
          <w:t>https://doi.org/10.1080/1059924X.2021.1849211</w:t>
        </w:r>
      </w:hyperlink>
    </w:p>
    <w:p w14:paraId="61AFB703" w14:textId="5BAD127E" w:rsidR="005B5CC9" w:rsidRDefault="005B5CC9" w:rsidP="00F633F0">
      <w:pPr>
        <w:pStyle w:val="Prrafodelista"/>
        <w:numPr>
          <w:ilvl w:val="0"/>
          <w:numId w:val="2"/>
        </w:numPr>
        <w:jc w:val="both"/>
        <w:rPr>
          <w:rStyle w:val="Hipervnculo"/>
          <w:color w:val="auto"/>
          <w:u w:val="none"/>
          <w:lang w:val="en-US"/>
        </w:rPr>
      </w:pPr>
      <w:r w:rsidRPr="005B5CC9">
        <w:rPr>
          <w:rStyle w:val="Hipervnculo"/>
          <w:color w:val="auto"/>
          <w:u w:val="none"/>
          <w:lang w:val="en-US"/>
        </w:rPr>
        <w:t xml:space="preserve">Acharya, P., Boggess, B., &amp; Zhang, K. (2018). Assessing Heat Stress and Health among Construction Workers in a Changing Climate: A Review. International Journal of Environmental Research and Public Health, 15(2), 247. </w:t>
      </w:r>
      <w:hyperlink r:id="rId15" w:history="1">
        <w:r w:rsidRPr="00E21017">
          <w:rPr>
            <w:rStyle w:val="Hipervnculo"/>
            <w:lang w:val="en-US"/>
          </w:rPr>
          <w:t>https://doi.org/10.3390/ijerph15020247</w:t>
        </w:r>
      </w:hyperlink>
    </w:p>
    <w:p w14:paraId="7B7CBE3B" w14:textId="67C3C564" w:rsidR="005B5CC9" w:rsidRDefault="005B5CC9" w:rsidP="00F633F0">
      <w:pPr>
        <w:pStyle w:val="Prrafodelista"/>
        <w:numPr>
          <w:ilvl w:val="0"/>
          <w:numId w:val="2"/>
        </w:numPr>
        <w:jc w:val="both"/>
        <w:rPr>
          <w:rStyle w:val="Hipervnculo"/>
          <w:color w:val="auto"/>
          <w:u w:val="none"/>
          <w:lang w:val="en-US"/>
        </w:rPr>
      </w:pPr>
      <w:r w:rsidRPr="005B5CC9">
        <w:rPr>
          <w:rStyle w:val="Hipervnculo"/>
          <w:color w:val="auto"/>
          <w:u w:val="none"/>
        </w:rPr>
        <w:t xml:space="preserve">Campiglio, E., &amp; Der Ploeg, R. V. (2021). </w:t>
      </w:r>
      <w:r w:rsidRPr="005B5CC9">
        <w:rPr>
          <w:rStyle w:val="Hipervnculo"/>
          <w:color w:val="auto"/>
          <w:u w:val="none"/>
          <w:lang w:val="en-US"/>
        </w:rPr>
        <w:t xml:space="preserve">Macro-financial transition risks in the fight against global warming. SSRN Electronic Journal. </w:t>
      </w:r>
      <w:hyperlink r:id="rId16" w:history="1">
        <w:r w:rsidRPr="00E21017">
          <w:rPr>
            <w:rStyle w:val="Hipervnculo"/>
            <w:lang w:val="en-US"/>
          </w:rPr>
          <w:t>https://doi.org/10.2139/ssrn.3862256</w:t>
        </w:r>
      </w:hyperlink>
    </w:p>
    <w:p w14:paraId="535E8B78" w14:textId="02409070" w:rsidR="005B5CC9" w:rsidRDefault="005B5CC9" w:rsidP="00F633F0">
      <w:pPr>
        <w:pStyle w:val="Prrafodelista"/>
        <w:numPr>
          <w:ilvl w:val="0"/>
          <w:numId w:val="2"/>
        </w:numPr>
        <w:jc w:val="both"/>
        <w:rPr>
          <w:rStyle w:val="Hipervnculo"/>
          <w:color w:val="auto"/>
          <w:u w:val="none"/>
          <w:lang w:val="en-US"/>
        </w:rPr>
      </w:pPr>
      <w:r w:rsidRPr="005B5CC9">
        <w:rPr>
          <w:rStyle w:val="Hipervnculo"/>
          <w:color w:val="auto"/>
          <w:u w:val="none"/>
          <w:lang w:val="en-US"/>
        </w:rPr>
        <w:t xml:space="preserve">Ezeasor, I. C., &amp; Ozougwu, P. E. (2022). Climate Change: Opportunities and Risks for the Manufacturing Sector. In C. N. Madu (Ed.), Handbook of Environmentally Conscious Manufacturing (pp. 177–185). Springer International Publishing. </w:t>
      </w:r>
      <w:hyperlink r:id="rId17" w:history="1">
        <w:r w:rsidRPr="00E21017">
          <w:rPr>
            <w:rStyle w:val="Hipervnculo"/>
            <w:lang w:val="en-US"/>
          </w:rPr>
          <w:t>https://doi.org/10.1007/978-3-030-75834-9_15</w:t>
        </w:r>
      </w:hyperlink>
    </w:p>
    <w:p w14:paraId="3C2D05E5" w14:textId="7996B0BD" w:rsidR="005B5CC9" w:rsidRDefault="005B5CC9" w:rsidP="00F633F0">
      <w:pPr>
        <w:pStyle w:val="Prrafodelista"/>
        <w:numPr>
          <w:ilvl w:val="0"/>
          <w:numId w:val="2"/>
        </w:numPr>
        <w:jc w:val="both"/>
        <w:rPr>
          <w:rStyle w:val="Hipervnculo"/>
          <w:color w:val="auto"/>
          <w:u w:val="none"/>
          <w:lang w:val="en-US"/>
        </w:rPr>
      </w:pPr>
      <w:r w:rsidRPr="005B5CC9">
        <w:rPr>
          <w:rStyle w:val="Hipervnculo"/>
          <w:color w:val="auto"/>
          <w:u w:val="none"/>
          <w:lang w:val="en-US"/>
        </w:rPr>
        <w:lastRenderedPageBreak/>
        <w:t xml:space="preserve">Carr-Wilson, S., Pattanayak, S. K., &amp; Weinthal, E. (2024). Critical mineral mining in the energy transition: A systematic review of environmental, social, and governance risks and opportunities. Energy Research &amp; Social Science, 116, 103672. </w:t>
      </w:r>
      <w:hyperlink r:id="rId18" w:history="1">
        <w:r w:rsidRPr="00E21017">
          <w:rPr>
            <w:rStyle w:val="Hipervnculo"/>
            <w:lang w:val="en-US"/>
          </w:rPr>
          <w:t>https://doi.org/10.1016/j.erss.2024.103672</w:t>
        </w:r>
      </w:hyperlink>
    </w:p>
    <w:p w14:paraId="169E39A0" w14:textId="77777777" w:rsidR="00F633F0" w:rsidRPr="00B40717" w:rsidRDefault="00F633F0" w:rsidP="00F633F0">
      <w:pPr>
        <w:pStyle w:val="Prrafodelista"/>
        <w:numPr>
          <w:ilvl w:val="0"/>
          <w:numId w:val="2"/>
        </w:numPr>
        <w:jc w:val="both"/>
        <w:rPr>
          <w:lang w:val="en-US"/>
        </w:rPr>
      </w:pPr>
      <w:r w:rsidRPr="00B40717">
        <w:rPr>
          <w:lang w:val="en-US"/>
        </w:rPr>
        <w:t xml:space="preserve">Suzuki, E., &amp; Kashiwase, H. (n.d.). Population Estimates and Projections [Dataset]. The World Bank. </w:t>
      </w:r>
      <w:hyperlink r:id="rId19" w:history="1">
        <w:r w:rsidRPr="00B40717">
          <w:rPr>
            <w:rStyle w:val="Hipervnculo"/>
            <w:lang w:val="en-US"/>
          </w:rPr>
          <w:t>https://doi.org/10.57966/GHB2-8V85</w:t>
        </w:r>
      </w:hyperlink>
    </w:p>
    <w:p w14:paraId="01C365A5" w14:textId="77777777" w:rsidR="008A6EA0" w:rsidRPr="00B40717" w:rsidRDefault="008A6EA0" w:rsidP="008A6EA0">
      <w:pPr>
        <w:pStyle w:val="Prrafodelista"/>
        <w:numPr>
          <w:ilvl w:val="0"/>
          <w:numId w:val="2"/>
        </w:numPr>
        <w:jc w:val="both"/>
        <w:rPr>
          <w:lang w:val="en-US"/>
        </w:rPr>
      </w:pPr>
      <w:r w:rsidRPr="00B40717">
        <w:rPr>
          <w:lang w:val="en-US"/>
        </w:rPr>
        <w:t xml:space="preserve">United Nations Development Programme (2024). Human Development Report 2023/2024. </w:t>
      </w:r>
      <w:hyperlink r:id="rId20" w:history="1">
        <w:r w:rsidRPr="00B40717">
          <w:rPr>
            <w:rStyle w:val="Hipervnculo"/>
            <w:lang w:val="en-US"/>
          </w:rPr>
          <w:t>https://hdr.undp.org/system/files/documents/global-report-document/hdr2023-24reporten.pdf</w:t>
        </w:r>
      </w:hyperlink>
    </w:p>
    <w:p w14:paraId="10853E79" w14:textId="19EC64F2" w:rsidR="00256B8B" w:rsidRDefault="00B43530" w:rsidP="00F633F0">
      <w:pPr>
        <w:pStyle w:val="Prrafodelista"/>
        <w:numPr>
          <w:ilvl w:val="0"/>
          <w:numId w:val="2"/>
        </w:numPr>
        <w:jc w:val="both"/>
        <w:rPr>
          <w:rStyle w:val="Hipervnculo"/>
          <w:color w:val="auto"/>
          <w:u w:val="none"/>
          <w:lang w:val="en-US"/>
        </w:rPr>
      </w:pPr>
      <w:r>
        <w:rPr>
          <w:rStyle w:val="Hipervnculo"/>
          <w:color w:val="auto"/>
          <w:u w:val="none"/>
          <w:lang w:val="en-US"/>
        </w:rPr>
        <w:t xml:space="preserve">OECD (2024). OECD Employment Outlook 2024: The net-zero transition and the labour market. </w:t>
      </w:r>
      <w:hyperlink r:id="rId21" w:history="1">
        <w:r w:rsidRPr="00E21017">
          <w:rPr>
            <w:rStyle w:val="Hipervnculo"/>
            <w:lang w:val="en-US"/>
          </w:rPr>
          <w:t>https://www.oecd-ilibrary.org/docserver/ac8b3538-en.pdf</w:t>
        </w:r>
      </w:hyperlink>
      <w:r>
        <w:rPr>
          <w:rStyle w:val="Hipervnculo"/>
          <w:color w:val="auto"/>
          <w:u w:val="none"/>
          <w:lang w:val="en-US"/>
        </w:rPr>
        <w:t xml:space="preserve"> </w:t>
      </w:r>
    </w:p>
    <w:p w14:paraId="73B58AE4" w14:textId="30679328" w:rsidR="00F633F0" w:rsidRDefault="00F633F0" w:rsidP="00F633F0">
      <w:pPr>
        <w:pStyle w:val="Prrafodelista"/>
        <w:numPr>
          <w:ilvl w:val="0"/>
          <w:numId w:val="2"/>
        </w:numPr>
        <w:jc w:val="both"/>
        <w:rPr>
          <w:rStyle w:val="Hipervnculo"/>
          <w:color w:val="auto"/>
          <w:u w:val="none"/>
          <w:lang w:val="en-US"/>
        </w:rPr>
      </w:pPr>
      <w:r>
        <w:rPr>
          <w:rStyle w:val="Hipervnculo"/>
          <w:color w:val="auto"/>
          <w:u w:val="none"/>
          <w:lang w:val="en-US"/>
        </w:rPr>
        <w:t>World Bank. Gini Index.</w:t>
      </w:r>
      <w:r>
        <w:rPr>
          <w:lang w:val="en-US"/>
        </w:rPr>
        <w:t xml:space="preserve"> </w:t>
      </w:r>
      <w:r w:rsidRPr="00B40717">
        <w:rPr>
          <w:lang w:val="en-US"/>
        </w:rPr>
        <w:t>Accesed 29 july 2024</w:t>
      </w:r>
      <w:r w:rsidR="008A6EA0">
        <w:rPr>
          <w:lang w:val="en-US"/>
        </w:rPr>
        <w:t>.</w:t>
      </w:r>
      <w:r>
        <w:rPr>
          <w:rStyle w:val="Hipervnculo"/>
          <w:color w:val="auto"/>
          <w:u w:val="none"/>
          <w:lang w:val="en-US"/>
        </w:rPr>
        <w:t xml:space="preserve"> </w:t>
      </w:r>
      <w:hyperlink r:id="rId22" w:history="1">
        <w:r w:rsidRPr="00E21017">
          <w:rPr>
            <w:rStyle w:val="Hipervnculo"/>
            <w:lang w:val="en-US"/>
          </w:rPr>
          <w:t>https://pip.worldbank.org/home</w:t>
        </w:r>
      </w:hyperlink>
      <w:r>
        <w:rPr>
          <w:rStyle w:val="Hipervnculo"/>
          <w:color w:val="auto"/>
          <w:u w:val="none"/>
          <w:lang w:val="en-US"/>
        </w:rPr>
        <w:t xml:space="preserve"> </w:t>
      </w:r>
    </w:p>
    <w:p w14:paraId="6F4B688B" w14:textId="67D3AED8" w:rsidR="00F633F0" w:rsidRDefault="00F633F0" w:rsidP="00F633F0">
      <w:pPr>
        <w:pStyle w:val="Prrafodelista"/>
        <w:numPr>
          <w:ilvl w:val="0"/>
          <w:numId w:val="2"/>
        </w:numPr>
        <w:jc w:val="both"/>
        <w:rPr>
          <w:rStyle w:val="Hipervnculo"/>
          <w:color w:val="auto"/>
          <w:u w:val="none"/>
          <w:lang w:val="en-US"/>
        </w:rPr>
      </w:pPr>
      <w:r>
        <w:rPr>
          <w:rStyle w:val="Hipervnculo"/>
          <w:color w:val="auto"/>
          <w:u w:val="none"/>
          <w:lang w:val="en-US"/>
        </w:rPr>
        <w:t xml:space="preserve">Central Intelligence Agency (CIA) (2024). The World Factbook. </w:t>
      </w:r>
      <w:hyperlink r:id="rId23" w:history="1">
        <w:r w:rsidRPr="00E21017">
          <w:rPr>
            <w:rStyle w:val="Hipervnculo"/>
            <w:lang w:val="en-US"/>
          </w:rPr>
          <w:t>https://www.cia.gov/the-world-factbook/</w:t>
        </w:r>
      </w:hyperlink>
      <w:r>
        <w:rPr>
          <w:rStyle w:val="Hipervnculo"/>
          <w:color w:val="auto"/>
          <w:u w:val="none"/>
          <w:lang w:val="en-US"/>
        </w:rPr>
        <w:t xml:space="preserve"> </w:t>
      </w:r>
    </w:p>
    <w:p w14:paraId="529EF222" w14:textId="60EBB0BE" w:rsidR="008A6EA0" w:rsidRDefault="008A6EA0" w:rsidP="00F633F0">
      <w:pPr>
        <w:pStyle w:val="Prrafodelista"/>
        <w:numPr>
          <w:ilvl w:val="0"/>
          <w:numId w:val="2"/>
        </w:numPr>
        <w:jc w:val="both"/>
        <w:rPr>
          <w:rStyle w:val="Hipervnculo"/>
          <w:color w:val="auto"/>
          <w:u w:val="none"/>
          <w:lang w:val="en-US"/>
        </w:rPr>
      </w:pPr>
      <w:r>
        <w:rPr>
          <w:rStyle w:val="Hipervnculo"/>
          <w:color w:val="auto"/>
          <w:u w:val="none"/>
          <w:lang w:val="en-US"/>
        </w:rPr>
        <w:t xml:space="preserve">World Bank. International Debt Statistics. </w:t>
      </w:r>
      <w:r w:rsidRPr="00B40717">
        <w:rPr>
          <w:lang w:val="en-US"/>
        </w:rPr>
        <w:t>Accesed 29 july 2024</w:t>
      </w:r>
      <w:r>
        <w:rPr>
          <w:lang w:val="en-US"/>
        </w:rPr>
        <w:t>.</w:t>
      </w:r>
      <w:r>
        <w:rPr>
          <w:rStyle w:val="Hipervnculo"/>
          <w:color w:val="auto"/>
          <w:u w:val="none"/>
          <w:lang w:val="en-US"/>
        </w:rPr>
        <w:t xml:space="preserve"> </w:t>
      </w:r>
      <w:hyperlink r:id="rId24" w:history="1">
        <w:r w:rsidRPr="00E21017">
          <w:rPr>
            <w:rStyle w:val="Hipervnculo"/>
            <w:lang w:val="en-US"/>
          </w:rPr>
          <w:t>https://www.worldbank.org/en/programs/debt-statistics/ids</w:t>
        </w:r>
      </w:hyperlink>
      <w:r>
        <w:rPr>
          <w:rStyle w:val="Hipervnculo"/>
          <w:color w:val="auto"/>
          <w:u w:val="none"/>
          <w:lang w:val="en-US"/>
        </w:rPr>
        <w:t xml:space="preserve"> </w:t>
      </w:r>
    </w:p>
    <w:p w14:paraId="7C44246A" w14:textId="77777777" w:rsidR="008A6EA0" w:rsidRDefault="008A6EA0" w:rsidP="008A6EA0">
      <w:pPr>
        <w:jc w:val="both"/>
        <w:rPr>
          <w:rStyle w:val="Hipervnculo"/>
          <w:color w:val="auto"/>
          <w:u w:val="none"/>
          <w:lang w:val="en-US"/>
        </w:rPr>
      </w:pPr>
    </w:p>
    <w:p w14:paraId="382B206D" w14:textId="66AFC8FC" w:rsidR="008A6EA0" w:rsidRPr="00486706" w:rsidRDefault="008A6EA0" w:rsidP="008A6EA0">
      <w:pPr>
        <w:jc w:val="both"/>
        <w:rPr>
          <w:b/>
          <w:bCs/>
          <w:lang w:val="en-US"/>
        </w:rPr>
      </w:pPr>
      <w:r w:rsidRPr="00486706">
        <w:rPr>
          <w:b/>
          <w:bCs/>
          <w:lang w:val="en-US"/>
        </w:rPr>
        <w:t xml:space="preserve">Annex A: </w:t>
      </w:r>
      <w:r>
        <w:rPr>
          <w:b/>
          <w:bCs/>
          <w:lang w:val="en-US"/>
        </w:rPr>
        <w:t>Climate transition</w:t>
      </w:r>
      <w:r>
        <w:rPr>
          <w:b/>
          <w:bCs/>
          <w:lang w:val="en-US"/>
        </w:rPr>
        <w:t xml:space="preserve"> vulnerability categories</w:t>
      </w:r>
    </w:p>
    <w:p w14:paraId="2CDD0C20" w14:textId="77777777" w:rsidR="0095311F" w:rsidRDefault="0095311F" w:rsidP="0095311F">
      <w:pPr>
        <w:jc w:val="both"/>
        <w:rPr>
          <w:lang w:val="en-US"/>
        </w:rPr>
      </w:pPr>
      <w:r>
        <w:rPr>
          <w:lang w:val="en-US"/>
        </w:rPr>
        <w:t>Figure A.1 represents the education category, measured by the mean years of schooling. The 10 countries with years of schooling, are Niger (1.3 years), Mali (1.6), Somalia (1.9), Burkina Faso (2.3), Chad (2.3), Guinea (2.4), Ethiopia (2.4), Afghanistan (2.5), Yemen (2.8), and Senegal (2.9).</w:t>
      </w:r>
    </w:p>
    <w:p w14:paraId="3726E511" w14:textId="77777777" w:rsidR="0095311F" w:rsidRDefault="0095311F" w:rsidP="0095311F">
      <w:pPr>
        <w:jc w:val="both"/>
        <w:rPr>
          <w:lang w:val="en-US"/>
        </w:rPr>
      </w:pPr>
      <w:r>
        <w:rPr>
          <w:lang w:val="en-US"/>
        </w:rPr>
        <w:t>Figure A.2 represents the research and development category, measured by scientific and technical journal articles per million inhabitants. The 10 countries with the lowest scientific production are Chad (0.88 articles per million inhabitants), Turkmenistan (0.93), Equatorial Guinea (1.25), South Sudan (1.29), Angola (1.43), Democratic Republic of the Congo (1.98), Liberia (2.44), El Salvador (2.63), Niger (2.73), and Burundi (2.89).</w:t>
      </w:r>
    </w:p>
    <w:p w14:paraId="6A2E94EA" w14:textId="478214EF" w:rsidR="0095311F" w:rsidRDefault="0095311F" w:rsidP="0095311F">
      <w:pPr>
        <w:jc w:val="both"/>
        <w:rPr>
          <w:lang w:val="en-US"/>
        </w:rPr>
      </w:pPr>
      <w:r>
        <w:rPr>
          <w:lang w:val="en-US"/>
        </w:rPr>
        <w:t>Figure A.3 represents the young workforce category, measured by ratio of population 20-44 to 45-64 years old. The 10 countries with the oldest workforce are</w:t>
      </w:r>
      <w:r w:rsidR="003C11DC">
        <w:rPr>
          <w:lang w:val="en-US"/>
        </w:rPr>
        <w:t xml:space="preserve"> Sin Maarten (0.55 young workers per older worker), </w:t>
      </w:r>
      <w:r w:rsidR="003C11DC">
        <w:rPr>
          <w:lang w:val="en-US"/>
        </w:rPr>
        <w:t>San Marino (0.</w:t>
      </w:r>
      <w:r w:rsidR="003C11DC">
        <w:rPr>
          <w:lang w:val="en-US"/>
        </w:rPr>
        <w:t>66</w:t>
      </w:r>
      <w:r w:rsidR="003C11DC">
        <w:rPr>
          <w:lang w:val="en-US"/>
        </w:rPr>
        <w:t>)</w:t>
      </w:r>
      <w:r w:rsidR="003C11DC">
        <w:rPr>
          <w:lang w:val="en-US"/>
        </w:rPr>
        <w:t>, Northern Mariana Islands (0.71), Bermuda</w:t>
      </w:r>
      <w:r>
        <w:rPr>
          <w:lang w:val="en-US"/>
        </w:rPr>
        <w:t xml:space="preserve"> </w:t>
      </w:r>
      <w:r w:rsidR="003C11DC">
        <w:rPr>
          <w:lang w:val="en-US"/>
        </w:rPr>
        <w:t xml:space="preserve">(0.72), Saint Martin (0.72), Kuwait </w:t>
      </w:r>
      <w:r>
        <w:rPr>
          <w:lang w:val="en-US"/>
        </w:rPr>
        <w:t>(0.</w:t>
      </w:r>
      <w:r w:rsidR="003C11DC">
        <w:rPr>
          <w:lang w:val="en-US"/>
        </w:rPr>
        <w:t>73)</w:t>
      </w:r>
      <w:r>
        <w:rPr>
          <w:lang w:val="en-US"/>
        </w:rPr>
        <w:t xml:space="preserve">, </w:t>
      </w:r>
      <w:r w:rsidR="003C11DC">
        <w:rPr>
          <w:lang w:val="en-US"/>
        </w:rPr>
        <w:t>Italy (0.</w:t>
      </w:r>
      <w:r w:rsidR="003C11DC">
        <w:rPr>
          <w:lang w:val="en-US"/>
        </w:rPr>
        <w:t>74</w:t>
      </w:r>
      <w:r w:rsidR="003C11DC">
        <w:rPr>
          <w:lang w:val="en-US"/>
        </w:rPr>
        <w:t xml:space="preserve">), </w:t>
      </w:r>
      <w:r>
        <w:rPr>
          <w:lang w:val="en-US"/>
        </w:rPr>
        <w:t>Ukraine (0.</w:t>
      </w:r>
      <w:r w:rsidR="003C11DC">
        <w:rPr>
          <w:lang w:val="en-US"/>
        </w:rPr>
        <w:t>74</w:t>
      </w:r>
      <w:r>
        <w:rPr>
          <w:lang w:val="en-US"/>
        </w:rPr>
        <w:t xml:space="preserve">), </w:t>
      </w:r>
      <w:r w:rsidR="003C11DC">
        <w:rPr>
          <w:lang w:val="en-US"/>
        </w:rPr>
        <w:t xml:space="preserve">U.S. Virgin Islands (0.77), and </w:t>
      </w:r>
      <w:r>
        <w:rPr>
          <w:lang w:val="en-US"/>
        </w:rPr>
        <w:t>Spain (0.</w:t>
      </w:r>
      <w:r w:rsidR="003C11DC">
        <w:rPr>
          <w:lang w:val="en-US"/>
        </w:rPr>
        <w:t>7</w:t>
      </w:r>
      <w:r>
        <w:rPr>
          <w:lang w:val="en-US"/>
        </w:rPr>
        <w:t>8)</w:t>
      </w:r>
      <w:r w:rsidR="003C11DC">
        <w:rPr>
          <w:lang w:val="en-US"/>
        </w:rPr>
        <w:t>.</w:t>
      </w:r>
    </w:p>
    <w:p w14:paraId="1813C9C0" w14:textId="0D16849B" w:rsidR="0095311F" w:rsidRDefault="0095311F" w:rsidP="0095311F">
      <w:pPr>
        <w:jc w:val="both"/>
        <w:rPr>
          <w:lang w:val="en-US"/>
        </w:rPr>
      </w:pPr>
      <w:r>
        <w:rPr>
          <w:lang w:val="en-US"/>
        </w:rPr>
        <w:t>Figure A.4 represents the gender category, measured by the Gender Inequality Index (GII). The 10 countries with the largest GII are Yemen</w:t>
      </w:r>
      <w:r>
        <w:rPr>
          <w:lang w:val="en-US"/>
        </w:rPr>
        <w:t xml:space="preserve"> </w:t>
      </w:r>
      <w:r>
        <w:rPr>
          <w:lang w:val="en-US"/>
        </w:rPr>
        <w:t xml:space="preserve">(0.820), Nigeria (0.677), Somalia </w:t>
      </w:r>
      <w:r>
        <w:rPr>
          <w:lang w:val="en-US"/>
        </w:rPr>
        <w:lastRenderedPageBreak/>
        <w:t>(0.674), Chad (0.671), Afghanistan (0.665), Liberia (0.656), Benin (0.649), Guinea-Bissau (0.631), Haiti (0.621), and Sierra Leone (0.613</w:t>
      </w:r>
      <w:r>
        <w:rPr>
          <w:lang w:val="en-US"/>
        </w:rPr>
        <w:t>).</w:t>
      </w:r>
    </w:p>
    <w:p w14:paraId="2AE88671" w14:textId="77777777" w:rsidR="0095311F" w:rsidRDefault="0095311F" w:rsidP="0095311F">
      <w:pPr>
        <w:jc w:val="both"/>
        <w:rPr>
          <w:lang w:val="en-US"/>
        </w:rPr>
      </w:pPr>
      <w:r>
        <w:rPr>
          <w:lang w:val="en-US"/>
        </w:rPr>
        <w:t>Figure A.5 represents government debt, measured by total debt service as % of GNI. The 10 countries with largest debt service are Mozambique (35.6% of GNI), Kazakhstan (22.1%), Mongolia (21.55%), Lebanon (20.9%), Nicaragua (16.6%), Panama (16.4%), Angola (15.9%), Montenegro (15.8%), Papua New Guinea (14.9%), and Georgia (13.9%).</w:t>
      </w:r>
    </w:p>
    <w:p w14:paraId="28009382" w14:textId="77777777" w:rsidR="0095311F" w:rsidRDefault="0095311F" w:rsidP="0095311F">
      <w:pPr>
        <w:jc w:val="both"/>
        <w:rPr>
          <w:lang w:val="en-US"/>
        </w:rPr>
      </w:pPr>
      <w:r>
        <w:rPr>
          <w:lang w:val="en-US"/>
        </w:rPr>
        <w:t>Figure A.6 represents government debt, measured by central government debt as % of GDP. The 10 countries with largest central debt are Japan (216%), Greece (203%), Singapore (150%), Barbados (146%), United Kingdom (142%), Namibia (118%), Bahrain (116%), Spain (111%), United States (110%), and France (99%).</w:t>
      </w:r>
    </w:p>
    <w:p w14:paraId="7F22B0B4" w14:textId="3ED1058E" w:rsidR="0095311F" w:rsidRDefault="0095311F" w:rsidP="0095311F">
      <w:pPr>
        <w:jc w:val="both"/>
        <w:rPr>
          <w:lang w:val="en-US"/>
        </w:rPr>
      </w:pPr>
      <w:r>
        <w:rPr>
          <w:lang w:val="en-US"/>
        </w:rPr>
        <w:t>Figure A.</w:t>
      </w:r>
      <w:r>
        <w:rPr>
          <w:lang w:val="en-US"/>
        </w:rPr>
        <w:t>7</w:t>
      </w:r>
      <w:r>
        <w:rPr>
          <w:lang w:val="en-US"/>
        </w:rPr>
        <w:t xml:space="preserve"> represents </w:t>
      </w:r>
      <w:r>
        <w:rPr>
          <w:lang w:val="en-US"/>
        </w:rPr>
        <w:t>inequality</w:t>
      </w:r>
      <w:r>
        <w:rPr>
          <w:lang w:val="en-US"/>
        </w:rPr>
        <w:t xml:space="preserve">, measured by </w:t>
      </w:r>
      <w:r>
        <w:rPr>
          <w:lang w:val="en-US"/>
        </w:rPr>
        <w:t>the Gini index</w:t>
      </w:r>
      <w:r>
        <w:rPr>
          <w:lang w:val="en-US"/>
        </w:rPr>
        <w:t xml:space="preserve">. The 10 countries with largest </w:t>
      </w:r>
      <w:r>
        <w:rPr>
          <w:lang w:val="en-US"/>
        </w:rPr>
        <w:t>Gini index are Bermuda (63</w:t>
      </w:r>
      <w:r w:rsidR="003C11DC">
        <w:rPr>
          <w:lang w:val="en-US"/>
        </w:rPr>
        <w:t>.0</w:t>
      </w:r>
      <w:r>
        <w:rPr>
          <w:lang w:val="en-US"/>
        </w:rPr>
        <w:t>), South Africa (6</w:t>
      </w:r>
      <w:r w:rsidR="003C11DC">
        <w:rPr>
          <w:lang w:val="en-US"/>
        </w:rPr>
        <w:t>.0</w:t>
      </w:r>
      <w:r>
        <w:rPr>
          <w:lang w:val="en-US"/>
        </w:rPr>
        <w:t>3), Bahrain (59</w:t>
      </w:r>
      <w:r w:rsidR="003C11DC">
        <w:rPr>
          <w:lang w:val="en-US"/>
        </w:rPr>
        <w:t>.0</w:t>
      </w:r>
      <w:r>
        <w:rPr>
          <w:lang w:val="en-US"/>
        </w:rPr>
        <w:t xml:space="preserve">), Namibia (59.1), Bahamas (57.5), Colombia (54.8), Kingdom of </w:t>
      </w:r>
      <w:r w:rsidR="003C11DC">
        <w:rPr>
          <w:lang w:val="en-US"/>
        </w:rPr>
        <w:t>Es</w:t>
      </w:r>
      <w:r>
        <w:rPr>
          <w:lang w:val="en-US"/>
        </w:rPr>
        <w:t>watini</w:t>
      </w:r>
      <w:r w:rsidR="003C11DC">
        <w:rPr>
          <w:lang w:val="en-US"/>
        </w:rPr>
        <w:t xml:space="preserve"> (54.6), Belize (53.3), Botswana (53.3), and Martinique (53.0).</w:t>
      </w:r>
    </w:p>
    <w:p w14:paraId="3FBADFA6" w14:textId="77777777" w:rsidR="0095311F" w:rsidRDefault="0095311F" w:rsidP="0095311F">
      <w:pPr>
        <w:jc w:val="both"/>
        <w:rPr>
          <w:lang w:val="en-US"/>
        </w:rPr>
      </w:pPr>
    </w:p>
    <w:p w14:paraId="7B2DE649" w14:textId="77777777" w:rsidR="0095311F" w:rsidRDefault="0095311F" w:rsidP="0095311F">
      <w:pPr>
        <w:jc w:val="both"/>
        <w:rPr>
          <w:lang w:val="en-US"/>
        </w:rPr>
      </w:pPr>
    </w:p>
    <w:p w14:paraId="1B048901" w14:textId="77777777" w:rsidR="0095311F" w:rsidRDefault="0095311F" w:rsidP="0095311F">
      <w:pPr>
        <w:jc w:val="both"/>
        <w:rPr>
          <w:lang w:val="en-US"/>
        </w:rPr>
      </w:pPr>
      <w:r>
        <w:rPr>
          <w:noProof/>
          <w:lang w:val="en-US"/>
        </w:rPr>
        <w:drawing>
          <wp:inline distT="0" distB="0" distL="0" distR="0" wp14:anchorId="625E1C74" wp14:editId="4F767192">
            <wp:extent cx="5612130" cy="2958465"/>
            <wp:effectExtent l="0" t="0" r="1270" b="635"/>
            <wp:docPr id="7912867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86766" name="Imagen 791286766"/>
                    <pic:cNvPicPr/>
                  </pic:nvPicPr>
                  <pic:blipFill>
                    <a:blip r:embed="rId25">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1808A6A2" w14:textId="77777777" w:rsidR="0095311F" w:rsidRDefault="0095311F" w:rsidP="0095311F">
      <w:pPr>
        <w:jc w:val="both"/>
        <w:rPr>
          <w:lang w:val="en-US"/>
        </w:rPr>
      </w:pPr>
      <w:r>
        <w:rPr>
          <w:lang w:val="en-US"/>
        </w:rPr>
        <w:t>Figure A.1. Mean years of schooling</w:t>
      </w:r>
    </w:p>
    <w:p w14:paraId="1EED6254" w14:textId="77777777" w:rsidR="0095311F" w:rsidRDefault="0095311F" w:rsidP="0095311F">
      <w:pPr>
        <w:jc w:val="both"/>
        <w:rPr>
          <w:lang w:val="en-US"/>
        </w:rPr>
      </w:pPr>
    </w:p>
    <w:p w14:paraId="13E20350" w14:textId="77777777" w:rsidR="0095311F" w:rsidRDefault="0095311F" w:rsidP="0095311F">
      <w:pPr>
        <w:jc w:val="both"/>
        <w:rPr>
          <w:lang w:val="en-US"/>
        </w:rPr>
      </w:pPr>
      <w:r>
        <w:rPr>
          <w:noProof/>
          <w:lang w:val="en-US"/>
        </w:rPr>
        <w:lastRenderedPageBreak/>
        <w:drawing>
          <wp:inline distT="0" distB="0" distL="0" distR="0" wp14:anchorId="0DEFC94E" wp14:editId="430A71F4">
            <wp:extent cx="5612130" cy="2958465"/>
            <wp:effectExtent l="0" t="0" r="1270" b="635"/>
            <wp:docPr id="18388220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22067" name="Imagen 1838822067"/>
                    <pic:cNvPicPr/>
                  </pic:nvPicPr>
                  <pic:blipFill>
                    <a:blip r:embed="rId26">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60A5E2E3" w14:textId="77777777" w:rsidR="0095311F" w:rsidRDefault="0095311F" w:rsidP="0095311F">
      <w:pPr>
        <w:jc w:val="both"/>
        <w:rPr>
          <w:lang w:val="en-US"/>
        </w:rPr>
      </w:pPr>
      <w:r>
        <w:rPr>
          <w:lang w:val="en-US"/>
        </w:rPr>
        <w:t>Figure A.2. Scientific and technical journal articles per million inhabitants</w:t>
      </w:r>
    </w:p>
    <w:p w14:paraId="4EF4F7E1" w14:textId="77777777" w:rsidR="003C11DC" w:rsidRDefault="003C11DC" w:rsidP="0095311F">
      <w:pPr>
        <w:jc w:val="both"/>
        <w:rPr>
          <w:lang w:val="en-US"/>
        </w:rPr>
      </w:pPr>
    </w:p>
    <w:p w14:paraId="56FDFB9A" w14:textId="1BFC2EA7" w:rsidR="0095311F" w:rsidRDefault="003C11DC" w:rsidP="0095311F">
      <w:pPr>
        <w:jc w:val="both"/>
        <w:rPr>
          <w:lang w:val="en-US"/>
        </w:rPr>
      </w:pPr>
      <w:r>
        <w:rPr>
          <w:noProof/>
          <w:lang w:val="en-US"/>
        </w:rPr>
        <w:drawing>
          <wp:inline distT="0" distB="0" distL="0" distR="0" wp14:anchorId="34968580" wp14:editId="06748413">
            <wp:extent cx="5612130" cy="2958465"/>
            <wp:effectExtent l="0" t="0" r="1270" b="635"/>
            <wp:docPr id="7199545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54510" name="Imagen 719954510"/>
                    <pic:cNvPicPr/>
                  </pic:nvPicPr>
                  <pic:blipFill>
                    <a:blip r:embed="rId27">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5FDA4B4E" w14:textId="77777777" w:rsidR="0095311F" w:rsidRDefault="0095311F" w:rsidP="0095311F">
      <w:pPr>
        <w:jc w:val="both"/>
        <w:rPr>
          <w:lang w:val="en-US"/>
        </w:rPr>
      </w:pPr>
      <w:r>
        <w:rPr>
          <w:lang w:val="en-US"/>
        </w:rPr>
        <w:t>Figure A.3. Young workforce ratio</w:t>
      </w:r>
    </w:p>
    <w:p w14:paraId="5487CE0B" w14:textId="77777777" w:rsidR="0095311F" w:rsidRDefault="0095311F" w:rsidP="0095311F">
      <w:pPr>
        <w:jc w:val="both"/>
        <w:rPr>
          <w:b/>
          <w:bCs/>
          <w:lang w:val="en-US"/>
        </w:rPr>
      </w:pPr>
    </w:p>
    <w:p w14:paraId="78F86C9C" w14:textId="77777777" w:rsidR="0095311F" w:rsidRDefault="0095311F" w:rsidP="0095311F">
      <w:pPr>
        <w:jc w:val="both"/>
        <w:rPr>
          <w:b/>
          <w:bCs/>
          <w:lang w:val="en-US"/>
        </w:rPr>
      </w:pPr>
      <w:r>
        <w:rPr>
          <w:b/>
          <w:bCs/>
          <w:noProof/>
          <w:lang w:val="en-US"/>
        </w:rPr>
        <w:lastRenderedPageBreak/>
        <w:drawing>
          <wp:inline distT="0" distB="0" distL="0" distR="0" wp14:anchorId="7D120066" wp14:editId="36A64A75">
            <wp:extent cx="5612130" cy="2958465"/>
            <wp:effectExtent l="0" t="0" r="1270" b="635"/>
            <wp:docPr id="16088271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27130" name="Imagen 1608827130"/>
                    <pic:cNvPicPr/>
                  </pic:nvPicPr>
                  <pic:blipFill>
                    <a:blip r:embed="rId28">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6D6B9D19" w14:textId="77777777" w:rsidR="0095311F" w:rsidRPr="005460B7" w:rsidRDefault="0095311F" w:rsidP="0095311F">
      <w:pPr>
        <w:jc w:val="both"/>
        <w:rPr>
          <w:lang w:val="en-US"/>
        </w:rPr>
      </w:pPr>
      <w:r>
        <w:rPr>
          <w:lang w:val="en-US"/>
        </w:rPr>
        <w:t>Figure A.4. Gender Inequality Index</w:t>
      </w:r>
    </w:p>
    <w:p w14:paraId="5476AEA8" w14:textId="17930409" w:rsidR="0095311F" w:rsidRDefault="0095311F" w:rsidP="0095311F">
      <w:pPr>
        <w:jc w:val="both"/>
        <w:rPr>
          <w:b/>
          <w:bCs/>
          <w:lang w:val="en-US"/>
        </w:rPr>
      </w:pPr>
      <w:r>
        <w:rPr>
          <w:b/>
          <w:bCs/>
          <w:noProof/>
          <w:lang w:val="en-US"/>
        </w:rPr>
        <w:drawing>
          <wp:inline distT="0" distB="0" distL="0" distR="0" wp14:anchorId="7E0E92CD" wp14:editId="6B096D73">
            <wp:extent cx="5612130" cy="2958465"/>
            <wp:effectExtent l="0" t="0" r="1270" b="635"/>
            <wp:docPr id="185900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0416" name="Imagen 185900416"/>
                    <pic:cNvPicPr/>
                  </pic:nvPicPr>
                  <pic:blipFill>
                    <a:blip r:embed="rId29">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6817567E" w14:textId="483342D4" w:rsidR="0095311F" w:rsidRPr="005460B7" w:rsidRDefault="0095311F" w:rsidP="0095311F">
      <w:pPr>
        <w:jc w:val="both"/>
        <w:rPr>
          <w:lang w:val="en-US"/>
        </w:rPr>
      </w:pPr>
      <w:r>
        <w:rPr>
          <w:lang w:val="en-US"/>
        </w:rPr>
        <w:t xml:space="preserve">Figure A.5. </w:t>
      </w:r>
      <w:r>
        <w:rPr>
          <w:lang w:val="en-US"/>
        </w:rPr>
        <w:t>Total debt service</w:t>
      </w:r>
    </w:p>
    <w:p w14:paraId="4024E6A5" w14:textId="64656562" w:rsidR="008A6EA0" w:rsidRDefault="0095311F" w:rsidP="008A6EA0">
      <w:pPr>
        <w:jc w:val="both"/>
        <w:rPr>
          <w:b/>
          <w:bCs/>
          <w:lang w:val="en-US"/>
        </w:rPr>
      </w:pPr>
      <w:r>
        <w:rPr>
          <w:b/>
          <w:bCs/>
          <w:noProof/>
          <w:lang w:val="en-US"/>
        </w:rPr>
        <w:lastRenderedPageBreak/>
        <w:drawing>
          <wp:inline distT="0" distB="0" distL="0" distR="0" wp14:anchorId="20EF3D24" wp14:editId="5164C53C">
            <wp:extent cx="5612130" cy="2958465"/>
            <wp:effectExtent l="0" t="0" r="1270" b="635"/>
            <wp:docPr id="17996389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38952" name="Imagen 1799638952"/>
                    <pic:cNvPicPr/>
                  </pic:nvPicPr>
                  <pic:blipFill>
                    <a:blip r:embed="rId30">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0638E2C7" w14:textId="640C1EB8" w:rsidR="0095311F" w:rsidRPr="0095311F" w:rsidRDefault="0095311F" w:rsidP="008A6EA0">
      <w:pPr>
        <w:jc w:val="both"/>
        <w:rPr>
          <w:lang w:val="en-US"/>
        </w:rPr>
      </w:pPr>
      <w:r>
        <w:rPr>
          <w:lang w:val="en-US"/>
        </w:rPr>
        <w:t>Figure A.</w:t>
      </w:r>
      <w:r w:rsidR="003C11DC">
        <w:rPr>
          <w:lang w:val="en-US"/>
        </w:rPr>
        <w:t>6</w:t>
      </w:r>
      <w:r>
        <w:rPr>
          <w:lang w:val="en-US"/>
        </w:rPr>
        <w:t xml:space="preserve">. </w:t>
      </w:r>
      <w:r>
        <w:rPr>
          <w:lang w:val="en-US"/>
        </w:rPr>
        <w:t>Central government debt</w:t>
      </w:r>
    </w:p>
    <w:p w14:paraId="4BA6FA2A" w14:textId="2FCC71E5" w:rsidR="0095311F" w:rsidRDefault="003C11DC" w:rsidP="008A6EA0">
      <w:pPr>
        <w:jc w:val="both"/>
        <w:rPr>
          <w:b/>
          <w:bCs/>
          <w:lang w:val="en-US"/>
        </w:rPr>
      </w:pPr>
      <w:r>
        <w:rPr>
          <w:b/>
          <w:bCs/>
          <w:noProof/>
          <w:lang w:val="en-US"/>
        </w:rPr>
        <w:drawing>
          <wp:inline distT="0" distB="0" distL="0" distR="0" wp14:anchorId="513A3B67" wp14:editId="4CAD20E9">
            <wp:extent cx="5612130" cy="2958465"/>
            <wp:effectExtent l="0" t="0" r="1270" b="635"/>
            <wp:docPr id="857138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3818" name="Imagen 85713818"/>
                    <pic:cNvPicPr/>
                  </pic:nvPicPr>
                  <pic:blipFill>
                    <a:blip r:embed="rId31">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7A9A964F" w14:textId="16EFB9C1" w:rsidR="003C11DC" w:rsidRPr="003C11DC" w:rsidRDefault="003C11DC" w:rsidP="008A6EA0">
      <w:pPr>
        <w:jc w:val="both"/>
        <w:rPr>
          <w:lang w:val="en-US"/>
        </w:rPr>
      </w:pPr>
      <w:r>
        <w:rPr>
          <w:lang w:val="en-US"/>
        </w:rPr>
        <w:t>Figure A.</w:t>
      </w:r>
      <w:r>
        <w:rPr>
          <w:lang w:val="en-US"/>
        </w:rPr>
        <w:t>7</w:t>
      </w:r>
      <w:r>
        <w:rPr>
          <w:lang w:val="en-US"/>
        </w:rPr>
        <w:t xml:space="preserve">. </w:t>
      </w:r>
      <w:r>
        <w:rPr>
          <w:lang w:val="en-US"/>
        </w:rPr>
        <w:t>Gini Index</w:t>
      </w:r>
    </w:p>
    <w:p w14:paraId="6E3434D3" w14:textId="77777777" w:rsidR="003C11DC" w:rsidRDefault="003C11DC" w:rsidP="008A6EA0">
      <w:pPr>
        <w:jc w:val="both"/>
        <w:rPr>
          <w:b/>
          <w:bCs/>
          <w:lang w:val="en-US"/>
        </w:rPr>
      </w:pPr>
    </w:p>
    <w:p w14:paraId="62B1314A" w14:textId="77777777" w:rsidR="008A6EA0" w:rsidRPr="00486706" w:rsidRDefault="008A6EA0" w:rsidP="008A6EA0">
      <w:pPr>
        <w:jc w:val="both"/>
        <w:rPr>
          <w:b/>
          <w:bCs/>
          <w:lang w:val="en-US"/>
        </w:rPr>
      </w:pPr>
      <w:r w:rsidRPr="00486706">
        <w:rPr>
          <w:b/>
          <w:bCs/>
          <w:lang w:val="en-US"/>
        </w:rPr>
        <w:t>Annex B: Index</w:t>
      </w:r>
      <w:r>
        <w:rPr>
          <w:b/>
          <w:bCs/>
          <w:lang w:val="en-US"/>
        </w:rPr>
        <w:t xml:space="preserve"> values for a given country</w:t>
      </w:r>
    </w:p>
    <w:p w14:paraId="42BCCC8F" w14:textId="7A576CAF" w:rsidR="008A6EA0" w:rsidRDefault="008A6EA0" w:rsidP="008A6EA0">
      <w:pPr>
        <w:jc w:val="both"/>
        <w:rPr>
          <w:lang w:val="en-US"/>
        </w:rPr>
      </w:pPr>
      <w:r>
        <w:rPr>
          <w:lang w:val="en-US"/>
        </w:rPr>
        <w:t xml:space="preserve">As an example, the vulnerability values for </w:t>
      </w:r>
      <w:r w:rsidR="003C11DC">
        <w:rPr>
          <w:lang w:val="en-US"/>
        </w:rPr>
        <w:t>Nicaragua</w:t>
      </w:r>
      <w:r>
        <w:rPr>
          <w:lang w:val="en-US"/>
        </w:rPr>
        <w:t xml:space="preserve"> are shown:</w:t>
      </w:r>
    </w:p>
    <w:p w14:paraId="39917DE5" w14:textId="4650F2E0" w:rsidR="008A6EA0" w:rsidRPr="003C11DC" w:rsidRDefault="008A6EA0" w:rsidP="003C11DC">
      <w:pPr>
        <w:pStyle w:val="Prrafodelista"/>
        <w:numPr>
          <w:ilvl w:val="0"/>
          <w:numId w:val="4"/>
        </w:numPr>
        <w:jc w:val="both"/>
        <w:rPr>
          <w:b/>
          <w:bCs/>
          <w:lang w:val="en-US"/>
        </w:rPr>
      </w:pPr>
      <w:r>
        <w:rPr>
          <w:lang w:val="en-US"/>
        </w:rPr>
        <w:t xml:space="preserve">Social vulnerability index, </w:t>
      </w:r>
      <w:r w:rsidR="003C11DC">
        <w:rPr>
          <w:lang w:val="en-US"/>
        </w:rPr>
        <w:t>climate transition impacts: 9.2</w:t>
      </w:r>
    </w:p>
    <w:p w14:paraId="6511B064" w14:textId="38BC8B73" w:rsidR="003C11DC" w:rsidRPr="003C11DC" w:rsidRDefault="003C11DC" w:rsidP="003C11DC">
      <w:pPr>
        <w:pStyle w:val="Prrafodelista"/>
        <w:numPr>
          <w:ilvl w:val="0"/>
          <w:numId w:val="4"/>
        </w:numPr>
        <w:jc w:val="both"/>
        <w:rPr>
          <w:b/>
          <w:bCs/>
          <w:lang w:val="en-US"/>
        </w:rPr>
      </w:pPr>
      <w:r>
        <w:rPr>
          <w:lang w:val="en-US"/>
        </w:rPr>
        <w:t>Mean years of schooling: 7.3</w:t>
      </w:r>
    </w:p>
    <w:p w14:paraId="5EB31043" w14:textId="0F4723F2" w:rsidR="003C11DC" w:rsidRPr="003C11DC" w:rsidRDefault="003C11DC" w:rsidP="003C11DC">
      <w:pPr>
        <w:pStyle w:val="Prrafodelista"/>
        <w:numPr>
          <w:ilvl w:val="0"/>
          <w:numId w:val="4"/>
        </w:numPr>
        <w:jc w:val="both"/>
        <w:rPr>
          <w:b/>
          <w:bCs/>
          <w:lang w:val="en-US"/>
        </w:rPr>
      </w:pPr>
      <w:r>
        <w:rPr>
          <w:lang w:val="en-US"/>
        </w:rPr>
        <w:lastRenderedPageBreak/>
        <w:t>Scientific articles per million inhabitants: 5.76</w:t>
      </w:r>
    </w:p>
    <w:p w14:paraId="64D8DA9D" w14:textId="1B1CBE02" w:rsidR="003C11DC" w:rsidRPr="003C11DC" w:rsidRDefault="003C11DC" w:rsidP="003C11DC">
      <w:pPr>
        <w:pStyle w:val="Prrafodelista"/>
        <w:numPr>
          <w:ilvl w:val="0"/>
          <w:numId w:val="4"/>
        </w:numPr>
        <w:jc w:val="both"/>
        <w:rPr>
          <w:b/>
          <w:bCs/>
          <w:lang w:val="en-US"/>
        </w:rPr>
      </w:pPr>
      <w:r>
        <w:rPr>
          <w:lang w:val="en-US"/>
        </w:rPr>
        <w:t>Young workforce ration (20-44 to 45-64 years old): 1.52</w:t>
      </w:r>
    </w:p>
    <w:p w14:paraId="240323C4" w14:textId="6BED80F0" w:rsidR="003C11DC" w:rsidRPr="003C11DC" w:rsidRDefault="003C11DC" w:rsidP="003C11DC">
      <w:pPr>
        <w:pStyle w:val="Prrafodelista"/>
        <w:numPr>
          <w:ilvl w:val="0"/>
          <w:numId w:val="4"/>
        </w:numPr>
        <w:jc w:val="both"/>
        <w:rPr>
          <w:b/>
          <w:bCs/>
          <w:lang w:val="en-US"/>
        </w:rPr>
      </w:pPr>
      <w:r>
        <w:rPr>
          <w:lang w:val="en-US"/>
        </w:rPr>
        <w:t>Gender inequality index: 0.397</w:t>
      </w:r>
    </w:p>
    <w:p w14:paraId="52A64A3C" w14:textId="69C98F5C" w:rsidR="003C11DC" w:rsidRPr="003C11DC" w:rsidRDefault="003C11DC" w:rsidP="003C11DC">
      <w:pPr>
        <w:pStyle w:val="Prrafodelista"/>
        <w:numPr>
          <w:ilvl w:val="0"/>
          <w:numId w:val="4"/>
        </w:numPr>
        <w:jc w:val="both"/>
        <w:rPr>
          <w:b/>
          <w:bCs/>
          <w:lang w:val="en-US"/>
        </w:rPr>
      </w:pPr>
      <w:r>
        <w:rPr>
          <w:lang w:val="en-US"/>
        </w:rPr>
        <w:t>Total debt service (% of GNI): 16.6%</w:t>
      </w:r>
    </w:p>
    <w:p w14:paraId="79231EFB" w14:textId="17ACD9F5" w:rsidR="003C11DC" w:rsidRPr="003C11DC" w:rsidRDefault="003C11DC" w:rsidP="003C11DC">
      <w:pPr>
        <w:pStyle w:val="Prrafodelista"/>
        <w:numPr>
          <w:ilvl w:val="0"/>
          <w:numId w:val="4"/>
        </w:numPr>
        <w:jc w:val="both"/>
        <w:rPr>
          <w:b/>
          <w:bCs/>
          <w:lang w:val="en-US"/>
        </w:rPr>
      </w:pPr>
      <w:r>
        <w:rPr>
          <w:lang w:val="en-US"/>
        </w:rPr>
        <w:t>Central government debt (% of GDP): no data</w:t>
      </w:r>
    </w:p>
    <w:p w14:paraId="6E4F459C" w14:textId="25AAC7ED" w:rsidR="003C11DC" w:rsidRPr="00CD218C" w:rsidRDefault="003C11DC" w:rsidP="003C11DC">
      <w:pPr>
        <w:pStyle w:val="Prrafodelista"/>
        <w:numPr>
          <w:ilvl w:val="0"/>
          <w:numId w:val="4"/>
        </w:numPr>
        <w:jc w:val="both"/>
        <w:rPr>
          <w:b/>
          <w:bCs/>
          <w:lang w:val="en-US"/>
        </w:rPr>
      </w:pPr>
      <w:r>
        <w:rPr>
          <w:lang w:val="en-US"/>
        </w:rPr>
        <w:t>Gini index: 46.2</w:t>
      </w:r>
    </w:p>
    <w:p w14:paraId="1D97935C" w14:textId="77777777" w:rsidR="008A6EA0" w:rsidRDefault="008A6EA0" w:rsidP="008A6EA0">
      <w:pPr>
        <w:jc w:val="both"/>
        <w:rPr>
          <w:b/>
          <w:bCs/>
          <w:lang w:val="en-US"/>
        </w:rPr>
      </w:pPr>
    </w:p>
    <w:p w14:paraId="6D7838E2" w14:textId="77777777" w:rsidR="008A6EA0" w:rsidRPr="008A6EA0" w:rsidRDefault="008A6EA0" w:rsidP="008A6EA0">
      <w:pPr>
        <w:jc w:val="both"/>
        <w:rPr>
          <w:rStyle w:val="Hipervnculo"/>
          <w:b/>
          <w:bCs/>
          <w:color w:val="auto"/>
          <w:u w:val="none"/>
          <w:lang w:val="en-US"/>
        </w:rPr>
      </w:pPr>
    </w:p>
    <w:sectPr w:rsidR="008A6EA0" w:rsidRPr="008A6EA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EE9AD1" w14:textId="77777777" w:rsidR="00492FE6" w:rsidRDefault="00492FE6" w:rsidP="00A4659D">
      <w:pPr>
        <w:spacing w:after="0" w:line="240" w:lineRule="auto"/>
      </w:pPr>
      <w:r>
        <w:separator/>
      </w:r>
    </w:p>
  </w:endnote>
  <w:endnote w:type="continuationSeparator" w:id="0">
    <w:p w14:paraId="236F850E" w14:textId="77777777" w:rsidR="00492FE6" w:rsidRDefault="00492FE6" w:rsidP="00A46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B92CB9" w14:textId="77777777" w:rsidR="00492FE6" w:rsidRDefault="00492FE6" w:rsidP="00A4659D">
      <w:pPr>
        <w:spacing w:after="0" w:line="240" w:lineRule="auto"/>
      </w:pPr>
      <w:r>
        <w:separator/>
      </w:r>
    </w:p>
  </w:footnote>
  <w:footnote w:type="continuationSeparator" w:id="0">
    <w:p w14:paraId="6D5D6FEC" w14:textId="77777777" w:rsidR="00492FE6" w:rsidRDefault="00492FE6" w:rsidP="00A465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hybridMultilevel"/>
    <w:tmpl w:val="F8A8D868"/>
    <w:lvl w:ilvl="0" w:tplc="B85C3DEC">
      <w:start w:val="1"/>
      <w:numFmt w:val="decimal"/>
      <w:lvlText w:val="%1."/>
      <w:lvlJc w:val="left"/>
      <w:pPr>
        <w:ind w:left="720" w:hanging="360"/>
      </w:pPr>
      <w:rPr>
        <w:b/>
        <w:bCs/>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E5D0E27"/>
    <w:multiLevelType w:val="hybridMultilevel"/>
    <w:tmpl w:val="43022472"/>
    <w:lvl w:ilvl="0" w:tplc="5B6E1844">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B0D5649"/>
    <w:multiLevelType w:val="hybridMultilevel"/>
    <w:tmpl w:val="F09878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10056E4"/>
    <w:multiLevelType w:val="hybridMultilevel"/>
    <w:tmpl w:val="4802D8AE"/>
    <w:lvl w:ilvl="0" w:tplc="4088082E">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7791441">
    <w:abstractNumId w:val="0"/>
  </w:num>
  <w:num w:numId="2" w16cid:durableId="783379100">
    <w:abstractNumId w:val="3"/>
  </w:num>
  <w:num w:numId="3" w16cid:durableId="795366227">
    <w:abstractNumId w:val="1"/>
  </w:num>
  <w:num w:numId="4" w16cid:durableId="19391718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59D"/>
    <w:rsid w:val="001F576B"/>
    <w:rsid w:val="00256B8B"/>
    <w:rsid w:val="0027717F"/>
    <w:rsid w:val="003C11DC"/>
    <w:rsid w:val="00412AEA"/>
    <w:rsid w:val="00492FE6"/>
    <w:rsid w:val="004C6C5B"/>
    <w:rsid w:val="005B5CC9"/>
    <w:rsid w:val="005D1BEE"/>
    <w:rsid w:val="006E544C"/>
    <w:rsid w:val="008A6EA0"/>
    <w:rsid w:val="0095311F"/>
    <w:rsid w:val="00A4659D"/>
    <w:rsid w:val="00B43530"/>
    <w:rsid w:val="00BE41D3"/>
    <w:rsid w:val="00F633F0"/>
    <w:rsid w:val="00F9492D"/>
    <w:rsid w:val="00FF67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637EA6CF"/>
  <w15:chartTrackingRefBased/>
  <w15:docId w15:val="{9E0A3761-35F0-4446-8EA0-F1983B159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59D"/>
  </w:style>
  <w:style w:type="paragraph" w:styleId="Ttulo1">
    <w:name w:val="heading 1"/>
    <w:basedOn w:val="Normal"/>
    <w:next w:val="Normal"/>
    <w:link w:val="Ttulo1Car"/>
    <w:uiPriority w:val="9"/>
    <w:qFormat/>
    <w:rsid w:val="00A465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465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4659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4659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4659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4659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4659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4659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4659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65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4659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4659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4659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4659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4659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4659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4659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4659D"/>
    <w:rPr>
      <w:rFonts w:eastAsiaTheme="majorEastAsia" w:cstheme="majorBidi"/>
      <w:color w:val="272727" w:themeColor="text1" w:themeTint="D8"/>
    </w:rPr>
  </w:style>
  <w:style w:type="paragraph" w:styleId="Ttulo">
    <w:name w:val="Title"/>
    <w:basedOn w:val="Normal"/>
    <w:next w:val="Normal"/>
    <w:link w:val="TtuloCar"/>
    <w:uiPriority w:val="10"/>
    <w:qFormat/>
    <w:rsid w:val="00A465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4659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4659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4659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4659D"/>
    <w:pPr>
      <w:spacing w:before="160"/>
      <w:jc w:val="center"/>
    </w:pPr>
    <w:rPr>
      <w:i/>
      <w:iCs/>
      <w:color w:val="404040" w:themeColor="text1" w:themeTint="BF"/>
    </w:rPr>
  </w:style>
  <w:style w:type="character" w:customStyle="1" w:styleId="CitaCar">
    <w:name w:val="Cita Car"/>
    <w:basedOn w:val="Fuentedeprrafopredeter"/>
    <w:link w:val="Cita"/>
    <w:uiPriority w:val="29"/>
    <w:rsid w:val="00A4659D"/>
    <w:rPr>
      <w:i/>
      <w:iCs/>
      <w:color w:val="404040" w:themeColor="text1" w:themeTint="BF"/>
    </w:rPr>
  </w:style>
  <w:style w:type="paragraph" w:styleId="Prrafodelista">
    <w:name w:val="List Paragraph"/>
    <w:basedOn w:val="Normal"/>
    <w:uiPriority w:val="34"/>
    <w:qFormat/>
    <w:rsid w:val="00A4659D"/>
    <w:pPr>
      <w:ind w:left="720"/>
      <w:contextualSpacing/>
    </w:pPr>
  </w:style>
  <w:style w:type="character" w:styleId="nfasisintenso">
    <w:name w:val="Intense Emphasis"/>
    <w:basedOn w:val="Fuentedeprrafopredeter"/>
    <w:uiPriority w:val="21"/>
    <w:qFormat/>
    <w:rsid w:val="00A4659D"/>
    <w:rPr>
      <w:i/>
      <w:iCs/>
      <w:color w:val="0F4761" w:themeColor="accent1" w:themeShade="BF"/>
    </w:rPr>
  </w:style>
  <w:style w:type="paragraph" w:styleId="Citadestacada">
    <w:name w:val="Intense Quote"/>
    <w:basedOn w:val="Normal"/>
    <w:next w:val="Normal"/>
    <w:link w:val="CitadestacadaCar"/>
    <w:uiPriority w:val="30"/>
    <w:qFormat/>
    <w:rsid w:val="00A465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4659D"/>
    <w:rPr>
      <w:i/>
      <w:iCs/>
      <w:color w:val="0F4761" w:themeColor="accent1" w:themeShade="BF"/>
    </w:rPr>
  </w:style>
  <w:style w:type="character" w:styleId="Referenciaintensa">
    <w:name w:val="Intense Reference"/>
    <w:basedOn w:val="Fuentedeprrafopredeter"/>
    <w:uiPriority w:val="32"/>
    <w:qFormat/>
    <w:rsid w:val="00A4659D"/>
    <w:rPr>
      <w:b/>
      <w:bCs/>
      <w:smallCaps/>
      <w:color w:val="0F4761" w:themeColor="accent1" w:themeShade="BF"/>
      <w:spacing w:val="5"/>
    </w:rPr>
  </w:style>
  <w:style w:type="character" w:styleId="Hipervnculo">
    <w:name w:val="Hyperlink"/>
    <w:basedOn w:val="Fuentedeprrafopredeter"/>
    <w:uiPriority w:val="99"/>
    <w:unhideWhenUsed/>
    <w:rsid w:val="00A4659D"/>
    <w:rPr>
      <w:color w:val="467886" w:themeColor="hyperlink"/>
      <w:u w:val="single"/>
    </w:rPr>
  </w:style>
  <w:style w:type="paragraph" w:styleId="Textonotapie">
    <w:name w:val="footnote text"/>
    <w:basedOn w:val="Normal"/>
    <w:link w:val="TextonotapieCar"/>
    <w:uiPriority w:val="99"/>
    <w:semiHidden/>
    <w:unhideWhenUsed/>
    <w:rsid w:val="00A4659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4659D"/>
    <w:rPr>
      <w:sz w:val="20"/>
      <w:szCs w:val="20"/>
    </w:rPr>
  </w:style>
  <w:style w:type="character" w:styleId="Refdenotaalpie">
    <w:name w:val="footnote reference"/>
    <w:basedOn w:val="Fuentedeprrafopredeter"/>
    <w:uiPriority w:val="99"/>
    <w:semiHidden/>
    <w:unhideWhenUsed/>
    <w:rsid w:val="00A4659D"/>
    <w:rPr>
      <w:vertAlign w:val="superscript"/>
    </w:rPr>
  </w:style>
  <w:style w:type="character" w:styleId="Mencinsinresolver">
    <w:name w:val="Unresolved Mention"/>
    <w:basedOn w:val="Fuentedeprrafopredeter"/>
    <w:uiPriority w:val="99"/>
    <w:semiHidden/>
    <w:unhideWhenUsed/>
    <w:rsid w:val="00F633F0"/>
    <w:rPr>
      <w:color w:val="605E5C"/>
      <w:shd w:val="clear" w:color="auto" w:fill="E1DFDD"/>
    </w:rPr>
  </w:style>
  <w:style w:type="character" w:styleId="nfasis">
    <w:name w:val="Emphasis"/>
    <w:basedOn w:val="Fuentedeprrafopredeter"/>
    <w:uiPriority w:val="20"/>
    <w:qFormat/>
    <w:rsid w:val="005B5CC9"/>
    <w:rPr>
      <w:i/>
      <w:iCs/>
    </w:rPr>
  </w:style>
  <w:style w:type="character" w:styleId="Hipervnculovisitado">
    <w:name w:val="FollowedHyperlink"/>
    <w:basedOn w:val="Fuentedeprrafopredeter"/>
    <w:uiPriority w:val="99"/>
    <w:semiHidden/>
    <w:unhideWhenUsed/>
    <w:rsid w:val="005B5CC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934027">
      <w:bodyDiv w:val="1"/>
      <w:marLeft w:val="0"/>
      <w:marRight w:val="0"/>
      <w:marTop w:val="0"/>
      <w:marBottom w:val="0"/>
      <w:divBdr>
        <w:top w:val="none" w:sz="0" w:space="0" w:color="auto"/>
        <w:left w:val="none" w:sz="0" w:space="0" w:color="auto"/>
        <w:bottom w:val="none" w:sz="0" w:space="0" w:color="auto"/>
        <w:right w:val="none" w:sz="0" w:space="0" w:color="auto"/>
      </w:divBdr>
      <w:divsChild>
        <w:div w:id="386224167">
          <w:marLeft w:val="480"/>
          <w:marRight w:val="0"/>
          <w:marTop w:val="0"/>
          <w:marBottom w:val="0"/>
          <w:divBdr>
            <w:top w:val="none" w:sz="0" w:space="0" w:color="auto"/>
            <w:left w:val="none" w:sz="0" w:space="0" w:color="auto"/>
            <w:bottom w:val="none" w:sz="0" w:space="0" w:color="auto"/>
            <w:right w:val="none" w:sz="0" w:space="0" w:color="auto"/>
          </w:divBdr>
          <w:divsChild>
            <w:div w:id="7507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1115">
      <w:bodyDiv w:val="1"/>
      <w:marLeft w:val="0"/>
      <w:marRight w:val="0"/>
      <w:marTop w:val="0"/>
      <w:marBottom w:val="0"/>
      <w:divBdr>
        <w:top w:val="none" w:sz="0" w:space="0" w:color="auto"/>
        <w:left w:val="none" w:sz="0" w:space="0" w:color="auto"/>
        <w:bottom w:val="none" w:sz="0" w:space="0" w:color="auto"/>
        <w:right w:val="none" w:sz="0" w:space="0" w:color="auto"/>
      </w:divBdr>
      <w:divsChild>
        <w:div w:id="660740953">
          <w:marLeft w:val="480"/>
          <w:marRight w:val="0"/>
          <w:marTop w:val="0"/>
          <w:marBottom w:val="0"/>
          <w:divBdr>
            <w:top w:val="none" w:sz="0" w:space="0" w:color="auto"/>
            <w:left w:val="none" w:sz="0" w:space="0" w:color="auto"/>
            <w:bottom w:val="none" w:sz="0" w:space="0" w:color="auto"/>
            <w:right w:val="none" w:sz="0" w:space="0" w:color="auto"/>
          </w:divBdr>
          <w:divsChild>
            <w:div w:id="39879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74474">
      <w:bodyDiv w:val="1"/>
      <w:marLeft w:val="0"/>
      <w:marRight w:val="0"/>
      <w:marTop w:val="0"/>
      <w:marBottom w:val="0"/>
      <w:divBdr>
        <w:top w:val="none" w:sz="0" w:space="0" w:color="auto"/>
        <w:left w:val="none" w:sz="0" w:space="0" w:color="auto"/>
        <w:bottom w:val="none" w:sz="0" w:space="0" w:color="auto"/>
        <w:right w:val="none" w:sz="0" w:space="0" w:color="auto"/>
      </w:divBdr>
      <w:divsChild>
        <w:div w:id="449979860">
          <w:marLeft w:val="480"/>
          <w:marRight w:val="0"/>
          <w:marTop w:val="0"/>
          <w:marBottom w:val="0"/>
          <w:divBdr>
            <w:top w:val="none" w:sz="0" w:space="0" w:color="auto"/>
            <w:left w:val="none" w:sz="0" w:space="0" w:color="auto"/>
            <w:bottom w:val="none" w:sz="0" w:space="0" w:color="auto"/>
            <w:right w:val="none" w:sz="0" w:space="0" w:color="auto"/>
          </w:divBdr>
          <w:divsChild>
            <w:div w:id="12583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6558">
      <w:bodyDiv w:val="1"/>
      <w:marLeft w:val="0"/>
      <w:marRight w:val="0"/>
      <w:marTop w:val="0"/>
      <w:marBottom w:val="0"/>
      <w:divBdr>
        <w:top w:val="none" w:sz="0" w:space="0" w:color="auto"/>
        <w:left w:val="none" w:sz="0" w:space="0" w:color="auto"/>
        <w:bottom w:val="none" w:sz="0" w:space="0" w:color="auto"/>
        <w:right w:val="none" w:sz="0" w:space="0" w:color="auto"/>
      </w:divBdr>
      <w:divsChild>
        <w:div w:id="468474855">
          <w:marLeft w:val="480"/>
          <w:marRight w:val="0"/>
          <w:marTop w:val="0"/>
          <w:marBottom w:val="0"/>
          <w:divBdr>
            <w:top w:val="none" w:sz="0" w:space="0" w:color="auto"/>
            <w:left w:val="none" w:sz="0" w:space="0" w:color="auto"/>
            <w:bottom w:val="none" w:sz="0" w:space="0" w:color="auto"/>
            <w:right w:val="none" w:sz="0" w:space="0" w:color="auto"/>
          </w:divBdr>
          <w:divsChild>
            <w:div w:id="94099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2568">
      <w:bodyDiv w:val="1"/>
      <w:marLeft w:val="0"/>
      <w:marRight w:val="0"/>
      <w:marTop w:val="0"/>
      <w:marBottom w:val="0"/>
      <w:divBdr>
        <w:top w:val="none" w:sz="0" w:space="0" w:color="auto"/>
        <w:left w:val="none" w:sz="0" w:space="0" w:color="auto"/>
        <w:bottom w:val="none" w:sz="0" w:space="0" w:color="auto"/>
        <w:right w:val="none" w:sz="0" w:space="0" w:color="auto"/>
      </w:divBdr>
    </w:div>
    <w:div w:id="1360931429">
      <w:bodyDiv w:val="1"/>
      <w:marLeft w:val="0"/>
      <w:marRight w:val="0"/>
      <w:marTop w:val="0"/>
      <w:marBottom w:val="0"/>
      <w:divBdr>
        <w:top w:val="none" w:sz="0" w:space="0" w:color="auto"/>
        <w:left w:val="none" w:sz="0" w:space="0" w:color="auto"/>
        <w:bottom w:val="none" w:sz="0" w:space="0" w:color="auto"/>
        <w:right w:val="none" w:sz="0" w:space="0" w:color="auto"/>
      </w:divBdr>
    </w:div>
    <w:div w:id="1468399625">
      <w:bodyDiv w:val="1"/>
      <w:marLeft w:val="0"/>
      <w:marRight w:val="0"/>
      <w:marTop w:val="0"/>
      <w:marBottom w:val="0"/>
      <w:divBdr>
        <w:top w:val="none" w:sz="0" w:space="0" w:color="auto"/>
        <w:left w:val="none" w:sz="0" w:space="0" w:color="auto"/>
        <w:bottom w:val="none" w:sz="0" w:space="0" w:color="auto"/>
        <w:right w:val="none" w:sz="0" w:space="0" w:color="auto"/>
      </w:divBdr>
      <w:divsChild>
        <w:div w:id="1609392093">
          <w:marLeft w:val="480"/>
          <w:marRight w:val="0"/>
          <w:marTop w:val="0"/>
          <w:marBottom w:val="0"/>
          <w:divBdr>
            <w:top w:val="none" w:sz="0" w:space="0" w:color="auto"/>
            <w:left w:val="none" w:sz="0" w:space="0" w:color="auto"/>
            <w:bottom w:val="none" w:sz="0" w:space="0" w:color="auto"/>
            <w:right w:val="none" w:sz="0" w:space="0" w:color="auto"/>
          </w:divBdr>
          <w:divsChild>
            <w:div w:id="2202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22984">
      <w:bodyDiv w:val="1"/>
      <w:marLeft w:val="0"/>
      <w:marRight w:val="0"/>
      <w:marTop w:val="0"/>
      <w:marBottom w:val="0"/>
      <w:divBdr>
        <w:top w:val="none" w:sz="0" w:space="0" w:color="auto"/>
        <w:left w:val="none" w:sz="0" w:space="0" w:color="auto"/>
        <w:bottom w:val="none" w:sz="0" w:space="0" w:color="auto"/>
        <w:right w:val="none" w:sz="0" w:space="0" w:color="auto"/>
      </w:divBdr>
      <w:divsChild>
        <w:div w:id="1193569683">
          <w:marLeft w:val="480"/>
          <w:marRight w:val="0"/>
          <w:marTop w:val="0"/>
          <w:marBottom w:val="0"/>
          <w:divBdr>
            <w:top w:val="none" w:sz="0" w:space="0" w:color="auto"/>
            <w:left w:val="none" w:sz="0" w:space="0" w:color="auto"/>
            <w:bottom w:val="none" w:sz="0" w:space="0" w:color="auto"/>
            <w:right w:val="none" w:sz="0" w:space="0" w:color="auto"/>
          </w:divBdr>
          <w:divsChild>
            <w:div w:id="103816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909">
      <w:bodyDiv w:val="1"/>
      <w:marLeft w:val="0"/>
      <w:marRight w:val="0"/>
      <w:marTop w:val="0"/>
      <w:marBottom w:val="0"/>
      <w:divBdr>
        <w:top w:val="none" w:sz="0" w:space="0" w:color="auto"/>
        <w:left w:val="none" w:sz="0" w:space="0" w:color="auto"/>
        <w:bottom w:val="none" w:sz="0" w:space="0" w:color="auto"/>
        <w:right w:val="none" w:sz="0" w:space="0" w:color="auto"/>
      </w:divBdr>
      <w:divsChild>
        <w:div w:id="1527986122">
          <w:marLeft w:val="480"/>
          <w:marRight w:val="0"/>
          <w:marTop w:val="0"/>
          <w:marBottom w:val="0"/>
          <w:divBdr>
            <w:top w:val="none" w:sz="0" w:space="0" w:color="auto"/>
            <w:left w:val="none" w:sz="0" w:space="0" w:color="auto"/>
            <w:bottom w:val="none" w:sz="0" w:space="0" w:color="auto"/>
            <w:right w:val="none" w:sz="0" w:space="0" w:color="auto"/>
          </w:divBdr>
          <w:divsChild>
            <w:div w:id="19459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1037">
      <w:bodyDiv w:val="1"/>
      <w:marLeft w:val="0"/>
      <w:marRight w:val="0"/>
      <w:marTop w:val="0"/>
      <w:marBottom w:val="0"/>
      <w:divBdr>
        <w:top w:val="none" w:sz="0" w:space="0" w:color="auto"/>
        <w:left w:val="none" w:sz="0" w:space="0" w:color="auto"/>
        <w:bottom w:val="none" w:sz="0" w:space="0" w:color="auto"/>
        <w:right w:val="none" w:sz="0" w:space="0" w:color="auto"/>
      </w:divBdr>
      <w:divsChild>
        <w:div w:id="1422336448">
          <w:marLeft w:val="480"/>
          <w:marRight w:val="0"/>
          <w:marTop w:val="0"/>
          <w:marBottom w:val="0"/>
          <w:divBdr>
            <w:top w:val="none" w:sz="0" w:space="0" w:color="auto"/>
            <w:left w:val="none" w:sz="0" w:space="0" w:color="auto"/>
            <w:bottom w:val="none" w:sz="0" w:space="0" w:color="auto"/>
            <w:right w:val="none" w:sz="0" w:space="0" w:color="auto"/>
          </w:divBdr>
          <w:divsChild>
            <w:div w:id="13815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0943">
      <w:bodyDiv w:val="1"/>
      <w:marLeft w:val="0"/>
      <w:marRight w:val="0"/>
      <w:marTop w:val="0"/>
      <w:marBottom w:val="0"/>
      <w:divBdr>
        <w:top w:val="none" w:sz="0" w:space="0" w:color="auto"/>
        <w:left w:val="none" w:sz="0" w:space="0" w:color="auto"/>
        <w:bottom w:val="none" w:sz="0" w:space="0" w:color="auto"/>
        <w:right w:val="none" w:sz="0" w:space="0" w:color="auto"/>
      </w:divBdr>
      <w:divsChild>
        <w:div w:id="1802308021">
          <w:marLeft w:val="480"/>
          <w:marRight w:val="0"/>
          <w:marTop w:val="0"/>
          <w:marBottom w:val="0"/>
          <w:divBdr>
            <w:top w:val="none" w:sz="0" w:space="0" w:color="auto"/>
            <w:left w:val="none" w:sz="0" w:space="0" w:color="auto"/>
            <w:bottom w:val="none" w:sz="0" w:space="0" w:color="auto"/>
            <w:right w:val="none" w:sz="0" w:space="0" w:color="auto"/>
          </w:divBdr>
          <w:divsChild>
            <w:div w:id="11378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88/1748-9326/acc347" TargetMode="External"/><Relationship Id="rId18" Type="http://schemas.openxmlformats.org/officeDocument/2006/relationships/hyperlink" Target="https://doi.org/10.1016/j.erss.2024.103672" TargetMode="Externa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www.oecd-ilibrary.org/docserver/ac8b3538-en.pdf" TargetMode="External"/><Relationship Id="rId7" Type="http://schemas.openxmlformats.org/officeDocument/2006/relationships/image" Target="media/image1.png"/><Relationship Id="rId12" Type="http://schemas.openxmlformats.org/officeDocument/2006/relationships/hyperlink" Target="https://doi.org/10.3929/ETHZ-B-000424345" TargetMode="External"/><Relationship Id="rId17" Type="http://schemas.openxmlformats.org/officeDocument/2006/relationships/hyperlink" Target="https://doi.org/10.1007/978-3-030-75834-9_15" TargetMode="External"/><Relationship Id="rId25" Type="http://schemas.openxmlformats.org/officeDocument/2006/relationships/image" Target="media/image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2139/ssrn.3862256" TargetMode="External"/><Relationship Id="rId20" Type="http://schemas.openxmlformats.org/officeDocument/2006/relationships/hyperlink" Target="https://hdr.undp.org/system/files/documents/global-report-document/hdr2023-24reporten.pdf"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3390/ijerph16183458" TargetMode="External"/><Relationship Id="rId24" Type="http://schemas.openxmlformats.org/officeDocument/2006/relationships/hyperlink" Target="https://www.worldbank.org/en/programs/debt-statistics/ids"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3390/ijerph15020247" TargetMode="External"/><Relationship Id="rId23" Type="http://schemas.openxmlformats.org/officeDocument/2006/relationships/hyperlink" Target="https://www.cia.gov/the-world-factbook/" TargetMode="External"/><Relationship Id="rId28" Type="http://schemas.openxmlformats.org/officeDocument/2006/relationships/image" Target="media/image5.png"/><Relationship Id="rId10" Type="http://schemas.openxmlformats.org/officeDocument/2006/relationships/hyperlink" Target="https://doi.org/10.1080/09644016.2014.923632" TargetMode="External"/><Relationship Id="rId19" Type="http://schemas.openxmlformats.org/officeDocument/2006/relationships/hyperlink" Target="https://doi.org/10.57966/GHB2-8V85"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oi.org/10.2139/ssrn.3456148" TargetMode="External"/><Relationship Id="rId14" Type="http://schemas.openxmlformats.org/officeDocument/2006/relationships/hyperlink" Target="https://doi.org/10.1080/1059924X.2021.1849211" TargetMode="External"/><Relationship Id="rId22" Type="http://schemas.openxmlformats.org/officeDocument/2006/relationships/hyperlink" Target="https://pip.worldbank.org/home" TargetMode="External"/><Relationship Id="rId27" Type="http://schemas.openxmlformats.org/officeDocument/2006/relationships/image" Target="media/image4.png"/><Relationship Id="rId30" Type="http://schemas.openxmlformats.org/officeDocument/2006/relationships/image" Target="media/image7.png"/><Relationship Id="rId8" Type="http://schemas.openxmlformats.org/officeDocument/2006/relationships/hyperlink" Target="https://researchrepository.ilo.org/esploro/outputs/99531944120267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11</Pages>
  <Words>2710</Words>
  <Characters>14907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Muñoz</dc:creator>
  <cp:keywords/>
  <dc:description/>
  <cp:lastModifiedBy>Rodrigo Muñoz</cp:lastModifiedBy>
  <cp:revision>3</cp:revision>
  <dcterms:created xsi:type="dcterms:W3CDTF">2024-07-29T22:08:00Z</dcterms:created>
  <dcterms:modified xsi:type="dcterms:W3CDTF">2024-07-30T02:18:00Z</dcterms:modified>
</cp:coreProperties>
</file>