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2096A" w14:textId="6C8664E9" w:rsidR="008A611F" w:rsidRPr="008A611F" w:rsidRDefault="008A611F" w:rsidP="008A611F">
      <w:pPr>
        <w:jc w:val="both"/>
        <w:rPr>
          <w:b/>
          <w:bCs/>
          <w:lang w:val="en-US"/>
        </w:rPr>
      </w:pPr>
      <w:r w:rsidRPr="008A611F">
        <w:rPr>
          <w:b/>
          <w:bCs/>
          <w:lang w:val="en-US"/>
        </w:rPr>
        <w:t>Social vulnerability indexes methodological note (draft)</w:t>
      </w:r>
    </w:p>
    <w:p w14:paraId="21B27C1E" w14:textId="77777777" w:rsidR="008A611F" w:rsidRDefault="008A611F" w:rsidP="008A611F">
      <w:pPr>
        <w:jc w:val="both"/>
        <w:rPr>
          <w:lang w:val="en-US"/>
        </w:rPr>
      </w:pPr>
    </w:p>
    <w:p w14:paraId="70EFAD68" w14:textId="67A11EF6" w:rsidR="008A611F" w:rsidRPr="008A611F" w:rsidRDefault="008A611F" w:rsidP="008A611F">
      <w:pPr>
        <w:jc w:val="both"/>
        <w:rPr>
          <w:lang w:val="en-US"/>
        </w:rPr>
      </w:pPr>
      <w:r w:rsidRPr="008A611F">
        <w:rPr>
          <w:b/>
          <w:bCs/>
          <w:lang w:val="en-US"/>
        </w:rPr>
        <w:t xml:space="preserve">Index 1: Social vulnerability to physical climate </w:t>
      </w:r>
      <w:r w:rsidR="00825777">
        <w:rPr>
          <w:b/>
          <w:bCs/>
          <w:lang w:val="en-US"/>
        </w:rPr>
        <w:t>impacts</w:t>
      </w:r>
    </w:p>
    <w:p w14:paraId="35DC6758" w14:textId="77777777" w:rsidR="008A611F" w:rsidRPr="008A611F" w:rsidRDefault="008A611F" w:rsidP="008A611F">
      <w:pPr>
        <w:jc w:val="both"/>
      </w:pPr>
      <w:r w:rsidRPr="008A611F">
        <w:t>Categories and variables:</w:t>
      </w:r>
    </w:p>
    <w:p w14:paraId="5D15F43D" w14:textId="77777777" w:rsidR="008A611F" w:rsidRDefault="008A611F" w:rsidP="008A611F">
      <w:pPr>
        <w:numPr>
          <w:ilvl w:val="0"/>
          <w:numId w:val="1"/>
        </w:numPr>
        <w:spacing w:after="0"/>
        <w:jc w:val="both"/>
        <w:rPr>
          <w:lang w:val="en-US"/>
        </w:rPr>
      </w:pPr>
      <w:r w:rsidRPr="008A611F">
        <w:rPr>
          <w:b/>
          <w:bCs/>
          <w:lang w:val="en-US"/>
        </w:rPr>
        <w:t>Wealth.</w:t>
      </w:r>
      <w:r w:rsidRPr="008A611F">
        <w:rPr>
          <w:lang w:val="en-US"/>
        </w:rPr>
        <w:t xml:space="preserve"> Variable: wealth component of HDI (log GNI per capita, PPP). Justification: Higher income gives the population more agency to invest in adaptation measures, or to have assets such as cars, air conditioning, etc. that improve their mobility and reduce their exposure.</w:t>
      </w:r>
      <w:r>
        <w:rPr>
          <w:lang w:val="en-US"/>
        </w:rPr>
        <w:t xml:space="preserve"> </w:t>
      </w:r>
      <w:r w:rsidRPr="008A611F">
        <w:rPr>
          <w:lang w:val="en-US"/>
        </w:rPr>
        <w:t>Sources backing relevance of category and variable:</w:t>
      </w:r>
    </w:p>
    <w:p w14:paraId="6375587C" w14:textId="3F450956" w:rsidR="008A611F" w:rsidRPr="008A611F" w:rsidRDefault="00000000" w:rsidP="008A611F">
      <w:pPr>
        <w:ind w:left="720"/>
        <w:jc w:val="both"/>
        <w:rPr>
          <w:lang w:val="en-US"/>
        </w:rPr>
      </w:pPr>
      <w:hyperlink r:id="rId8" w:history="1">
        <w:r w:rsidR="008A611F" w:rsidRPr="008A611F">
          <w:rPr>
            <w:rStyle w:val="Hipervnculo"/>
            <w:lang w:val="en-US"/>
          </w:rPr>
          <w:t>https://doi.org/10.1002/wcc.287</w:t>
        </w:r>
      </w:hyperlink>
      <w:r w:rsidR="008A611F" w:rsidRPr="008A611F">
        <w:rPr>
          <w:lang w:val="en-US"/>
        </w:rPr>
        <w:t xml:space="preserve">, </w:t>
      </w:r>
      <w:hyperlink r:id="rId9" w:history="1">
        <w:r w:rsidR="008A611F" w:rsidRPr="008A611F">
          <w:rPr>
            <w:rStyle w:val="Hipervnculo"/>
            <w:lang w:val="en-US"/>
          </w:rPr>
          <w:t>https://doi.org/10.1007/s10113-017-1105-9</w:t>
        </w:r>
      </w:hyperlink>
    </w:p>
    <w:p w14:paraId="45B28307" w14:textId="77777777" w:rsidR="008A611F" w:rsidRPr="008A611F" w:rsidRDefault="008A611F" w:rsidP="008A611F">
      <w:pPr>
        <w:numPr>
          <w:ilvl w:val="0"/>
          <w:numId w:val="1"/>
        </w:numPr>
        <w:spacing w:after="0"/>
        <w:jc w:val="both"/>
        <w:rPr>
          <w:b/>
          <w:bCs/>
          <w:lang w:val="en-US"/>
        </w:rPr>
      </w:pPr>
      <w:r w:rsidRPr="008A611F">
        <w:rPr>
          <w:b/>
          <w:bCs/>
          <w:lang w:val="en-US"/>
        </w:rPr>
        <w:t xml:space="preserve">Health. </w:t>
      </w:r>
      <w:r w:rsidRPr="008A611F">
        <w:rPr>
          <w:lang w:val="en-US"/>
        </w:rPr>
        <w:t>Variable: life expectancy at birth. Justification: This is an indirect measure of the general health of individuals, which is important in the comorbidities that can increase excess deaths, and the quality of the health system, including its ability to serve individuals during emergencies. Sources backing relevance of category and variable:</w:t>
      </w:r>
    </w:p>
    <w:p w14:paraId="27D06BC2" w14:textId="0AFDE84D" w:rsidR="008A611F" w:rsidRPr="008A611F" w:rsidRDefault="00000000" w:rsidP="008A611F">
      <w:pPr>
        <w:ind w:left="720"/>
        <w:jc w:val="both"/>
        <w:rPr>
          <w:b/>
          <w:bCs/>
          <w:lang w:val="en-US"/>
        </w:rPr>
      </w:pPr>
      <w:hyperlink r:id="rId10" w:history="1">
        <w:r w:rsidR="008A611F" w:rsidRPr="008A611F">
          <w:rPr>
            <w:rStyle w:val="Hipervnculo"/>
            <w:lang w:val="en-US"/>
          </w:rPr>
          <w:t>https://doi.org/10.1146/annurev-publhealth-012420-105026</w:t>
        </w:r>
      </w:hyperlink>
      <w:r w:rsidR="008A611F" w:rsidRPr="008A611F">
        <w:rPr>
          <w:lang w:val="en-US"/>
        </w:rPr>
        <w:t xml:space="preserve">, </w:t>
      </w:r>
      <w:hyperlink r:id="rId11" w:history="1">
        <w:r w:rsidR="008A611F" w:rsidRPr="008A611F">
          <w:rPr>
            <w:rStyle w:val="Hipervnculo"/>
            <w:lang w:val="en-US"/>
          </w:rPr>
          <w:t>https://doi.org/10.3233%2FSJI-140840</w:t>
        </w:r>
      </w:hyperlink>
      <w:r w:rsidR="008A611F" w:rsidRPr="008A611F">
        <w:rPr>
          <w:lang w:val="en-US"/>
        </w:rPr>
        <w:t xml:space="preserve"> </w:t>
      </w:r>
    </w:p>
    <w:p w14:paraId="69493D82" w14:textId="73E1FE85" w:rsidR="008A611F" w:rsidRDefault="008A611F" w:rsidP="008A611F">
      <w:pPr>
        <w:numPr>
          <w:ilvl w:val="0"/>
          <w:numId w:val="1"/>
        </w:numPr>
        <w:spacing w:after="0"/>
        <w:jc w:val="both"/>
        <w:rPr>
          <w:lang w:val="en-US"/>
        </w:rPr>
      </w:pPr>
      <w:r w:rsidRPr="008A611F">
        <w:rPr>
          <w:b/>
          <w:bCs/>
          <w:lang w:val="en-US"/>
        </w:rPr>
        <w:t>Age dependency.</w:t>
      </w:r>
      <w:r w:rsidRPr="008A611F">
        <w:rPr>
          <w:lang w:val="en-US"/>
        </w:rPr>
        <w:t xml:space="preserve"> Variable: percent of population under </w:t>
      </w:r>
      <w:r>
        <w:rPr>
          <w:lang w:val="en-US"/>
        </w:rPr>
        <w:t>1</w:t>
      </w:r>
      <w:r w:rsidRPr="008A611F">
        <w:rPr>
          <w:lang w:val="en-US"/>
        </w:rPr>
        <w:t>5 or over 65 years old. Justification: young and old individuals are more affected by extreme events and have less agency due to their increased dependency. Sources backing relevance of category and variable:</w:t>
      </w:r>
    </w:p>
    <w:p w14:paraId="01C2BBBC" w14:textId="34B6212B" w:rsidR="008A611F" w:rsidRPr="008A611F" w:rsidRDefault="00000000" w:rsidP="008A611F">
      <w:pPr>
        <w:ind w:left="720"/>
        <w:jc w:val="both"/>
        <w:rPr>
          <w:lang w:val="en-US"/>
        </w:rPr>
      </w:pPr>
      <w:hyperlink r:id="rId12" w:history="1">
        <w:r w:rsidR="008A611F" w:rsidRPr="008A611F">
          <w:rPr>
            <w:rStyle w:val="Hipervnculo"/>
            <w:lang w:val="en-US"/>
          </w:rPr>
          <w:t>https://doi.org/10.1038%2Fs41612-023-00487-z</w:t>
        </w:r>
      </w:hyperlink>
      <w:r w:rsidR="008A611F" w:rsidRPr="008A611F">
        <w:rPr>
          <w:lang w:val="en-US"/>
        </w:rPr>
        <w:t xml:space="preserve">, </w:t>
      </w:r>
      <w:hyperlink r:id="rId13" w:history="1">
        <w:r w:rsidR="008A611F" w:rsidRPr="008A611F">
          <w:rPr>
            <w:rStyle w:val="Hipervnculo"/>
            <w:lang w:val="en-US"/>
          </w:rPr>
          <w:t>https://doi.org/10.1289%2Fehp.1002233</w:t>
        </w:r>
      </w:hyperlink>
      <w:r w:rsidR="008A611F" w:rsidRPr="008A611F">
        <w:rPr>
          <w:lang w:val="en-US"/>
        </w:rPr>
        <w:t>.</w:t>
      </w:r>
    </w:p>
    <w:p w14:paraId="49B3A951" w14:textId="77777777" w:rsidR="008A611F" w:rsidRDefault="008A611F" w:rsidP="008A611F">
      <w:pPr>
        <w:numPr>
          <w:ilvl w:val="0"/>
          <w:numId w:val="1"/>
        </w:numPr>
        <w:spacing w:after="0"/>
        <w:jc w:val="both"/>
        <w:rPr>
          <w:lang w:val="en-US"/>
        </w:rPr>
      </w:pPr>
      <w:r w:rsidRPr="008A611F">
        <w:rPr>
          <w:b/>
          <w:bCs/>
          <w:lang w:val="en-US"/>
        </w:rPr>
        <w:t xml:space="preserve">Rurality. </w:t>
      </w:r>
      <w:r w:rsidRPr="008A611F">
        <w:rPr>
          <w:lang w:val="en-US"/>
        </w:rPr>
        <w:t>Variable: percent of rural population. Rural areas are generally less developed, with less health facilities, and the sparse population can mean they are harder to serve with emergency, early waning, and preventive services, Sources backing relevance of category and variable:</w:t>
      </w:r>
    </w:p>
    <w:p w14:paraId="26A8CF00" w14:textId="4D1E68F2" w:rsidR="008A611F" w:rsidRPr="008A611F" w:rsidRDefault="00000000" w:rsidP="008A611F">
      <w:pPr>
        <w:ind w:left="720"/>
        <w:jc w:val="both"/>
        <w:rPr>
          <w:lang w:val="en-US"/>
        </w:rPr>
      </w:pPr>
      <w:hyperlink r:id="rId14" w:history="1">
        <w:r w:rsidR="008A611F" w:rsidRPr="008A611F">
          <w:rPr>
            <w:rStyle w:val="Hipervnculo"/>
            <w:lang w:val="en-US"/>
          </w:rPr>
          <w:t>https://www.ipcc.ch/site/assets/uploads/2018/02/WGIIAR5-Chap9_FINAL.pdf</w:t>
        </w:r>
      </w:hyperlink>
    </w:p>
    <w:p w14:paraId="5DAF1204" w14:textId="77777777" w:rsidR="008A611F" w:rsidRDefault="008A611F" w:rsidP="008A611F">
      <w:pPr>
        <w:numPr>
          <w:ilvl w:val="0"/>
          <w:numId w:val="1"/>
        </w:numPr>
        <w:spacing w:after="0"/>
        <w:jc w:val="both"/>
        <w:rPr>
          <w:lang w:val="en-US"/>
        </w:rPr>
      </w:pPr>
      <w:r w:rsidRPr="008A611F">
        <w:rPr>
          <w:b/>
          <w:bCs/>
          <w:lang w:val="en-US"/>
        </w:rPr>
        <w:t xml:space="preserve">Gender. </w:t>
      </w:r>
      <w:r w:rsidRPr="008A611F">
        <w:rPr>
          <w:lang w:val="en-US"/>
        </w:rPr>
        <w:t>Variable: Gender Development Index. Justification: it measures the difference access to wealth, education, and health between males and females, making women less resilient. Sources backing relevance of category and variable:</w:t>
      </w:r>
    </w:p>
    <w:p w14:paraId="3519F338" w14:textId="59091E31" w:rsidR="008A611F" w:rsidRPr="008A611F" w:rsidRDefault="00000000" w:rsidP="008A611F">
      <w:pPr>
        <w:ind w:left="720"/>
        <w:jc w:val="both"/>
        <w:rPr>
          <w:lang w:val="en-US"/>
        </w:rPr>
      </w:pPr>
      <w:hyperlink r:id="rId15" w:history="1">
        <w:r w:rsidR="008A611F" w:rsidRPr="008A611F">
          <w:rPr>
            <w:rStyle w:val="Hipervnculo"/>
            <w:lang w:val="en-US"/>
          </w:rPr>
          <w:t>https://doi.org/10.1080/13552070215903</w:t>
        </w:r>
      </w:hyperlink>
      <w:r w:rsidR="008A611F" w:rsidRPr="008A611F">
        <w:rPr>
          <w:lang w:val="en-US"/>
        </w:rPr>
        <w:t xml:space="preserve">, </w:t>
      </w:r>
      <w:hyperlink r:id="rId16" w:history="1">
        <w:r w:rsidR="008A611F" w:rsidRPr="008A611F">
          <w:rPr>
            <w:rStyle w:val="Hipervnculo"/>
            <w:lang w:val="en-US"/>
          </w:rPr>
          <w:t>https://doi.org/10.1002/wcc.451</w:t>
        </w:r>
      </w:hyperlink>
    </w:p>
    <w:p w14:paraId="3F946903" w14:textId="35969D8A" w:rsidR="008A611F" w:rsidRDefault="008A611F" w:rsidP="008A611F">
      <w:pPr>
        <w:jc w:val="both"/>
        <w:rPr>
          <w:lang w:val="en-US"/>
        </w:rPr>
      </w:pPr>
    </w:p>
    <w:p w14:paraId="3E1404AF" w14:textId="6E26820F" w:rsidR="00825777" w:rsidRDefault="00825777" w:rsidP="008A611F">
      <w:pPr>
        <w:jc w:val="both"/>
        <w:rPr>
          <w:lang w:val="en-US"/>
        </w:rPr>
      </w:pPr>
      <w:r>
        <w:rPr>
          <w:noProof/>
          <w:lang w:val="en-US"/>
        </w:rPr>
        <w:lastRenderedPageBreak/>
        <w:drawing>
          <wp:inline distT="0" distB="0" distL="0" distR="0" wp14:anchorId="56587A40" wp14:editId="2034DC45">
            <wp:extent cx="5612130" cy="2958465"/>
            <wp:effectExtent l="0" t="0" r="1270" b="635"/>
            <wp:docPr id="10261942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94207" name="Imagen 1026194207"/>
                    <pic:cNvPicPr/>
                  </pic:nvPicPr>
                  <pic:blipFill>
                    <a:blip r:embed="rId17">
                      <a:extLst>
                        <a:ext uri="{28A0092B-C50C-407E-A947-70E740481C1C}">
                          <a14:useLocalDpi xmlns:a14="http://schemas.microsoft.com/office/drawing/2010/main" val="0"/>
                        </a:ext>
                      </a:extLst>
                    </a:blip>
                    <a:stretch>
                      <a:fillRect/>
                    </a:stretch>
                  </pic:blipFill>
                  <pic:spPr>
                    <a:xfrm>
                      <a:off x="0" y="0"/>
                      <a:ext cx="5612130" cy="2958465"/>
                    </a:xfrm>
                    <a:prstGeom prst="rect">
                      <a:avLst/>
                    </a:prstGeom>
                  </pic:spPr>
                </pic:pic>
              </a:graphicData>
            </a:graphic>
          </wp:inline>
        </w:drawing>
      </w:r>
    </w:p>
    <w:p w14:paraId="54644796" w14:textId="36B1EB67" w:rsidR="00825777" w:rsidRDefault="00825777" w:rsidP="008A611F">
      <w:pPr>
        <w:jc w:val="both"/>
        <w:rPr>
          <w:lang w:val="en-US"/>
        </w:rPr>
      </w:pPr>
      <w:r>
        <w:rPr>
          <w:lang w:val="en-US"/>
        </w:rPr>
        <w:t>Figure 1. Social vulnerability to physical climate impacts</w:t>
      </w:r>
    </w:p>
    <w:p w14:paraId="582B9D94" w14:textId="77777777" w:rsidR="00825777" w:rsidRDefault="00825777" w:rsidP="008A611F">
      <w:pPr>
        <w:jc w:val="both"/>
        <w:rPr>
          <w:b/>
          <w:bCs/>
          <w:lang w:val="en-US"/>
        </w:rPr>
      </w:pPr>
    </w:p>
    <w:p w14:paraId="3B8D5E60" w14:textId="341FC4A4" w:rsidR="008A611F" w:rsidRPr="008A611F" w:rsidRDefault="008A611F" w:rsidP="008A611F">
      <w:pPr>
        <w:jc w:val="both"/>
        <w:rPr>
          <w:lang w:val="en-US"/>
        </w:rPr>
      </w:pPr>
      <w:r w:rsidRPr="008A611F">
        <w:rPr>
          <w:b/>
          <w:bCs/>
          <w:lang w:val="en-US"/>
        </w:rPr>
        <w:t xml:space="preserve">Index 2: Social vulnerability to </w:t>
      </w:r>
      <w:r w:rsidR="00825777">
        <w:rPr>
          <w:b/>
          <w:bCs/>
          <w:lang w:val="en-US"/>
        </w:rPr>
        <w:t xml:space="preserve">climate </w:t>
      </w:r>
      <w:r w:rsidRPr="008A611F">
        <w:rPr>
          <w:b/>
          <w:bCs/>
          <w:lang w:val="en-US"/>
        </w:rPr>
        <w:t xml:space="preserve">transition </w:t>
      </w:r>
      <w:r w:rsidR="00825777">
        <w:rPr>
          <w:b/>
          <w:bCs/>
          <w:lang w:val="en-US"/>
        </w:rPr>
        <w:t>impacts</w:t>
      </w:r>
    </w:p>
    <w:p w14:paraId="396A4AE3" w14:textId="650499F8" w:rsidR="008A611F" w:rsidRPr="008A611F" w:rsidRDefault="00DD40E7" w:rsidP="008A611F">
      <w:pPr>
        <w:jc w:val="both"/>
        <w:rPr>
          <w:lang w:val="en-US"/>
        </w:rPr>
      </w:pPr>
      <w:r>
        <w:rPr>
          <w:lang w:val="en-US"/>
        </w:rPr>
        <w:t>Climate change poses numerous risks for the global workers</w:t>
      </w:r>
      <w:r>
        <w:rPr>
          <w:rStyle w:val="Refdenotaalpie"/>
          <w:lang w:val="en-US"/>
        </w:rPr>
        <w:footnoteReference w:id="1"/>
      </w:r>
      <w:r>
        <w:rPr>
          <w:lang w:val="en-US"/>
        </w:rPr>
        <w:t xml:space="preserve">. </w:t>
      </w:r>
      <w:r w:rsidR="008A611F" w:rsidRPr="008A611F">
        <w:rPr>
          <w:lang w:val="en-US"/>
        </w:rPr>
        <w:t>Two of the main factors that influence a just transition for workers in the face of climate change a flexible and highly mobile workforce and a strong income support system</w:t>
      </w:r>
      <w:r w:rsidR="008A611F">
        <w:rPr>
          <w:rStyle w:val="Refdenotaalpie"/>
          <w:lang w:val="en-US"/>
        </w:rPr>
        <w:footnoteReference w:id="2"/>
      </w:r>
      <w:r w:rsidR="008A611F" w:rsidRPr="008A611F">
        <w:rPr>
          <w:lang w:val="en-US"/>
        </w:rPr>
        <w:t>. Fundamental programs to enable a transition that leaves no one behind are a trade adjustment assistance and income support</w:t>
      </w:r>
      <w:r w:rsidR="008A611F">
        <w:rPr>
          <w:rStyle w:val="Refdenotaalpie"/>
          <w:lang w:val="en-US"/>
        </w:rPr>
        <w:footnoteReference w:id="3"/>
      </w:r>
      <w:r w:rsidR="008A611F" w:rsidRPr="008A611F">
        <w:rPr>
          <w:lang w:val="en-US"/>
        </w:rPr>
        <w:t xml:space="preserve">, programs which may have large costs that will mostly be </w:t>
      </w:r>
      <w:proofErr w:type="spellStart"/>
      <w:r w:rsidR="008A611F" w:rsidRPr="008A611F">
        <w:rPr>
          <w:lang w:val="en-US"/>
        </w:rPr>
        <w:t>born</w:t>
      </w:r>
      <w:proofErr w:type="spellEnd"/>
      <w:r w:rsidR="008A611F" w:rsidRPr="008A611F">
        <w:rPr>
          <w:lang w:val="en-US"/>
        </w:rPr>
        <w:t xml:space="preserve"> by governments. An ageing workforce </w:t>
      </w:r>
      <w:r w:rsidR="008A611F">
        <w:rPr>
          <w:lang w:val="en-US"/>
        </w:rPr>
        <w:t xml:space="preserve">has </w:t>
      </w:r>
      <w:r w:rsidR="008A611F" w:rsidRPr="008A611F">
        <w:rPr>
          <w:lang w:val="en-US"/>
        </w:rPr>
        <w:t xml:space="preserve">less flexibility and mobility </w:t>
      </w:r>
      <w:proofErr w:type="gramStart"/>
      <w:r w:rsidR="008A611F" w:rsidRPr="008A611F">
        <w:rPr>
          <w:lang w:val="en-US"/>
        </w:rPr>
        <w:t>is</w:t>
      </w:r>
      <w:proofErr w:type="gramEnd"/>
      <w:r w:rsidR="008A611F" w:rsidRPr="008A611F">
        <w:rPr>
          <w:lang w:val="en-US"/>
        </w:rPr>
        <w:t xml:space="preserve"> a hindering mechanisms. Technical innovation and governmental support for new industries are important to avoid sunk investments in industries that no longer are compatible with a future affected by climate change</w:t>
      </w:r>
      <w:r w:rsidR="008A611F">
        <w:rPr>
          <w:rStyle w:val="Refdenotaalpie"/>
          <w:lang w:val="en-US"/>
        </w:rPr>
        <w:footnoteReference w:id="4"/>
      </w:r>
      <w:r w:rsidR="008A611F" w:rsidRPr="008A611F">
        <w:rPr>
          <w:lang w:val="en-US"/>
        </w:rPr>
        <w:t>. Economic sectors can be affected by physical risks due to extreme weather events</w:t>
      </w:r>
      <w:r w:rsidR="008A611F">
        <w:rPr>
          <w:rStyle w:val="Refdenotaalpie"/>
          <w:lang w:val="en-US"/>
        </w:rPr>
        <w:footnoteReference w:id="5"/>
      </w:r>
      <w:r w:rsidR="008A611F">
        <w:rPr>
          <w:lang w:val="en-US"/>
        </w:rPr>
        <w:t xml:space="preserve"> </w:t>
      </w:r>
      <w:r w:rsidR="008A611F" w:rsidRPr="008A611F">
        <w:rPr>
          <w:lang w:val="en-US"/>
        </w:rPr>
        <w:t>or to transition risks, due to economic changes in markets</w:t>
      </w:r>
      <w:r w:rsidR="008A611F">
        <w:rPr>
          <w:rStyle w:val="Refdenotaalpie"/>
          <w:lang w:val="en-US"/>
        </w:rPr>
        <w:footnoteReference w:id="6"/>
      </w:r>
      <w:r w:rsidR="008A611F" w:rsidRPr="008A611F">
        <w:rPr>
          <w:lang w:val="en-US"/>
        </w:rPr>
        <w:t>. Industries where workers will most be affected by physical risks are Agriculture</w:t>
      </w:r>
      <w:r w:rsidR="008A611F">
        <w:rPr>
          <w:rStyle w:val="Refdenotaalpie"/>
          <w:lang w:val="en-US"/>
        </w:rPr>
        <w:footnoteReference w:id="7"/>
      </w:r>
      <w:r w:rsidR="008A611F" w:rsidRPr="008A611F">
        <w:rPr>
          <w:lang w:val="en-US"/>
        </w:rPr>
        <w:t xml:space="preserve"> </w:t>
      </w:r>
      <w:r w:rsidR="008A611F" w:rsidRPr="008A611F">
        <w:rPr>
          <w:lang w:val="en-US"/>
        </w:rPr>
        <w:lastRenderedPageBreak/>
        <w:t>and Construction</w:t>
      </w:r>
      <w:r w:rsidR="008A611F">
        <w:rPr>
          <w:rStyle w:val="Refdenotaalpie"/>
          <w:lang w:val="en-US"/>
        </w:rPr>
        <w:footnoteReference w:id="8"/>
      </w:r>
      <w:r w:rsidR="008A611F" w:rsidRPr="008A611F">
        <w:rPr>
          <w:lang w:val="en-US"/>
        </w:rPr>
        <w:t>, while energy, fossil fuel extraction</w:t>
      </w:r>
      <w:r w:rsidR="008A611F">
        <w:rPr>
          <w:rStyle w:val="Refdenotaalpie"/>
          <w:lang w:val="en-US"/>
        </w:rPr>
        <w:footnoteReference w:id="9"/>
      </w:r>
      <w:r w:rsidR="008A611F" w:rsidRPr="008A611F">
        <w:rPr>
          <w:lang w:val="en-US"/>
        </w:rPr>
        <w:t>, manufacturing</w:t>
      </w:r>
      <w:r w:rsidR="008A611F">
        <w:rPr>
          <w:rStyle w:val="Refdenotaalpie"/>
          <w:lang w:val="en-US"/>
        </w:rPr>
        <w:footnoteReference w:id="10"/>
      </w:r>
      <w:r w:rsidR="008A611F" w:rsidRPr="008A611F">
        <w:rPr>
          <w:lang w:val="en-US"/>
        </w:rPr>
        <w:t>, and mining</w:t>
      </w:r>
      <w:r w:rsidR="008A611F">
        <w:rPr>
          <w:rStyle w:val="Refdenotaalpie"/>
          <w:lang w:val="en-US"/>
        </w:rPr>
        <w:footnoteReference w:id="11"/>
      </w:r>
      <w:r w:rsidR="008A611F" w:rsidRPr="008A611F">
        <w:rPr>
          <w:lang w:val="en-US"/>
        </w:rPr>
        <w:t xml:space="preserve"> are most at risk from transition factors. Other industries, like tourism, may exhibit a loss of income source and physical damages in the case of dwindling ecosystems and sea level rise. The transition vulnerability index aims to consider factors at a personal and structural scale that enable and hinder a just transition for workers. Additionally, the proportion of workers in industries affected by physical and transitional risks will be compared to the general social vulnerability index to transition risks. It is important to also compare workers exposed to physical risks with climate change exposure.</w:t>
      </w:r>
    </w:p>
    <w:p w14:paraId="52BE53FA" w14:textId="77777777" w:rsidR="008A611F" w:rsidRPr="008A611F" w:rsidRDefault="008A611F" w:rsidP="008A611F">
      <w:pPr>
        <w:jc w:val="both"/>
        <w:rPr>
          <w:lang w:val="en-US"/>
        </w:rPr>
      </w:pPr>
    </w:p>
    <w:p w14:paraId="334EA054" w14:textId="77777777" w:rsidR="008A611F" w:rsidRPr="008A611F" w:rsidRDefault="008A611F" w:rsidP="008A611F">
      <w:pPr>
        <w:jc w:val="both"/>
      </w:pPr>
      <w:r w:rsidRPr="008A611F">
        <w:t>Categories and variables:</w:t>
      </w:r>
    </w:p>
    <w:p w14:paraId="6A6980B1" w14:textId="77777777" w:rsidR="008A611F" w:rsidRPr="008A611F" w:rsidRDefault="008A611F" w:rsidP="008A611F">
      <w:pPr>
        <w:numPr>
          <w:ilvl w:val="0"/>
          <w:numId w:val="2"/>
        </w:numPr>
        <w:jc w:val="both"/>
        <w:rPr>
          <w:lang w:val="en-US"/>
        </w:rPr>
      </w:pPr>
      <w:r w:rsidRPr="008A611F">
        <w:rPr>
          <w:b/>
          <w:bCs/>
          <w:lang w:val="en-US"/>
        </w:rPr>
        <w:t>Workforce age:</w:t>
      </w:r>
      <w:r w:rsidRPr="008A611F">
        <w:rPr>
          <w:lang w:val="en-US"/>
        </w:rPr>
        <w:t xml:space="preserve"> Variable: Ratio of population 20-39 years old to population 40-65 years old. Justification: a personal component of vulnerability; an older workforce is more at risk of having their skills become obsolete, and companies will likely be less interested in investing in their reskilling.</w:t>
      </w:r>
    </w:p>
    <w:p w14:paraId="43D375EB" w14:textId="5C534F03" w:rsidR="00825777" w:rsidRPr="00825777" w:rsidRDefault="00825777" w:rsidP="00825777">
      <w:pPr>
        <w:numPr>
          <w:ilvl w:val="0"/>
          <w:numId w:val="2"/>
        </w:numPr>
        <w:autoSpaceDE w:val="0"/>
        <w:autoSpaceDN w:val="0"/>
        <w:adjustRightInd w:val="0"/>
        <w:spacing w:after="0" w:line="240" w:lineRule="auto"/>
        <w:rPr>
          <w:rFonts w:ascii="AppleSystemUIFont" w:hAnsi="AppleSystemUIFont" w:cs="AppleSystemUIFont"/>
          <w:kern w:val="0"/>
          <w:sz w:val="26"/>
          <w:szCs w:val="26"/>
          <w:lang w:val="en-US"/>
        </w:rPr>
      </w:pPr>
      <w:r w:rsidRPr="00825777">
        <w:rPr>
          <w:rFonts w:ascii="AppleSystemUIFont" w:hAnsi="AppleSystemUIFont" w:cs="AppleSystemUIFont"/>
          <w:b/>
          <w:bCs/>
          <w:kern w:val="0"/>
          <w:sz w:val="26"/>
          <w:szCs w:val="26"/>
          <w:lang w:val="en-US"/>
        </w:rPr>
        <w:t>Education:</w:t>
      </w:r>
      <w:r w:rsidRPr="00825777">
        <w:rPr>
          <w:rFonts w:ascii="AppleSystemUIFont" w:hAnsi="AppleSystemUIFont" w:cs="AppleSystemUIFont"/>
          <w:kern w:val="0"/>
          <w:sz w:val="26"/>
          <w:szCs w:val="26"/>
          <w:lang w:val="en-US"/>
        </w:rPr>
        <w:t xml:space="preserve"> Variable: Mean years of schooling. Justification: A personal component of vulnerability, the general economic transition gears toward more skilled job positions, and a worker with a basic set of skills and a higher education may be more attractive to a new industry</w:t>
      </w:r>
      <w:r>
        <w:rPr>
          <w:rFonts w:ascii="AppleSystemUIFont" w:hAnsi="AppleSystemUIFont" w:cs="AppleSystemUIFont"/>
          <w:kern w:val="0"/>
          <w:sz w:val="26"/>
          <w:szCs w:val="26"/>
          <w:lang w:val="en-US"/>
        </w:rPr>
        <w:t>. While it would be more directly useful to measure continuing education as measured by UNESCO (</w:t>
      </w:r>
      <w:r w:rsidRPr="00EA1A9C">
        <w:rPr>
          <w:lang w:val="en-US"/>
        </w:rPr>
        <w:t>Participation rate of youth and adults in formal and non-formal education and training in the previous 12 months</w:t>
      </w:r>
      <w:r>
        <w:rPr>
          <w:rFonts w:ascii="AppleSystemUIFont" w:hAnsi="AppleSystemUIFont" w:cs="AppleSystemUIFont"/>
          <w:kern w:val="0"/>
          <w:sz w:val="26"/>
          <w:szCs w:val="26"/>
          <w:lang w:val="en-US"/>
        </w:rPr>
        <w:t>), but it is a variable for which several countries have no data.</w:t>
      </w:r>
    </w:p>
    <w:p w14:paraId="45B2A02D" w14:textId="4DE8B607" w:rsidR="008A611F" w:rsidRPr="008A611F" w:rsidRDefault="008A611F" w:rsidP="008A611F">
      <w:pPr>
        <w:numPr>
          <w:ilvl w:val="0"/>
          <w:numId w:val="2"/>
        </w:numPr>
        <w:jc w:val="both"/>
        <w:rPr>
          <w:lang w:val="en-US"/>
        </w:rPr>
      </w:pPr>
      <w:r w:rsidRPr="008A611F">
        <w:rPr>
          <w:b/>
          <w:bCs/>
          <w:lang w:val="en-US"/>
        </w:rPr>
        <w:t xml:space="preserve">Inequality: </w:t>
      </w:r>
      <w:r w:rsidRPr="008A611F">
        <w:rPr>
          <w:lang w:val="en-US"/>
        </w:rPr>
        <w:t>Variable: Gini coefficient. Justification: A structural component of vulnerability; in more unequal economies, a just transition will be harder to achieve, with the wealthier workforce having the means and support to reskill and the opportunities to find new jobs in growing industries, while less well-off workers will more likely be locked in sunk industries and be left behind.</w:t>
      </w:r>
    </w:p>
    <w:p w14:paraId="70B7AAFF" w14:textId="77777777" w:rsidR="008A611F" w:rsidRPr="008A611F" w:rsidRDefault="008A611F" w:rsidP="008A611F">
      <w:pPr>
        <w:numPr>
          <w:ilvl w:val="0"/>
          <w:numId w:val="2"/>
        </w:numPr>
        <w:jc w:val="both"/>
        <w:rPr>
          <w:lang w:val="en-US"/>
        </w:rPr>
      </w:pPr>
      <w:r w:rsidRPr="008A611F">
        <w:rPr>
          <w:b/>
          <w:bCs/>
          <w:lang w:val="en-US"/>
        </w:rPr>
        <w:t>Research and development</w:t>
      </w:r>
      <w:r w:rsidRPr="008A611F">
        <w:rPr>
          <w:lang w:val="en-US"/>
        </w:rPr>
        <w:t xml:space="preserve">. Variable: Scientific and Technical Journal Articles per Capita. A structural component of vulnerability; it is aimed at measuring an individual country’s ability at </w:t>
      </w:r>
      <w:proofErr w:type="gramStart"/>
      <w:r w:rsidRPr="008A611F">
        <w:rPr>
          <w:lang w:val="en-US"/>
        </w:rPr>
        <w:t>actually creating</w:t>
      </w:r>
      <w:proofErr w:type="gramEnd"/>
      <w:r w:rsidRPr="008A611F">
        <w:rPr>
          <w:lang w:val="en-US"/>
        </w:rPr>
        <w:t xml:space="preserve"> new jobs and industries and leading the economic transition.</w:t>
      </w:r>
    </w:p>
    <w:p w14:paraId="5127F1DF" w14:textId="77777777" w:rsidR="008A611F" w:rsidRPr="008A611F" w:rsidRDefault="008A611F" w:rsidP="008A611F">
      <w:pPr>
        <w:numPr>
          <w:ilvl w:val="0"/>
          <w:numId w:val="2"/>
        </w:numPr>
        <w:jc w:val="both"/>
      </w:pPr>
      <w:r w:rsidRPr="008A611F">
        <w:rPr>
          <w:b/>
          <w:bCs/>
          <w:lang w:val="en-US"/>
        </w:rPr>
        <w:lastRenderedPageBreak/>
        <w:t>Government debt.</w:t>
      </w:r>
      <w:r w:rsidRPr="008A611F">
        <w:rPr>
          <w:lang w:val="en-US"/>
        </w:rPr>
        <w:t xml:space="preserve"> Variable: Total debt service as % of GNI (reported mostly for global south countries, includes the interest payment), and Central Government debt as % of GDP (reported mostly for global north countries). Justification: A structural component of vulnerability, world governments might be in need to offer buyouts, early retirement packages or otherwise bear the brunt of reskilling costs </w:t>
      </w:r>
      <w:proofErr w:type="gramStart"/>
      <w:r w:rsidRPr="008A611F">
        <w:rPr>
          <w:lang w:val="en-US"/>
        </w:rPr>
        <w:t>in order to</w:t>
      </w:r>
      <w:proofErr w:type="gramEnd"/>
      <w:r w:rsidRPr="008A611F">
        <w:rPr>
          <w:lang w:val="en-US"/>
        </w:rPr>
        <w:t xml:space="preserve"> ensure a just transition for all. </w:t>
      </w:r>
      <w:r w:rsidRPr="008A611F">
        <w:t>This will further increase debt burdens.</w:t>
      </w:r>
    </w:p>
    <w:p w14:paraId="0476CDCF" w14:textId="77777777" w:rsidR="008A611F" w:rsidRPr="008A611F" w:rsidRDefault="008A611F" w:rsidP="008A611F">
      <w:pPr>
        <w:numPr>
          <w:ilvl w:val="0"/>
          <w:numId w:val="2"/>
        </w:numPr>
        <w:jc w:val="both"/>
        <w:rPr>
          <w:lang w:val="en-US"/>
        </w:rPr>
      </w:pPr>
      <w:r w:rsidRPr="008A611F">
        <w:rPr>
          <w:b/>
          <w:bCs/>
          <w:lang w:val="en-US"/>
        </w:rPr>
        <w:t>Gender</w:t>
      </w:r>
      <w:r w:rsidRPr="008A611F">
        <w:rPr>
          <w:lang w:val="en-US"/>
        </w:rPr>
        <w:t xml:space="preserve">. Variable: Gender inequality index, measuring female reproductive health and contrasting male and female empowerment and </w:t>
      </w:r>
      <w:proofErr w:type="spellStart"/>
      <w:r w:rsidRPr="008A611F">
        <w:rPr>
          <w:lang w:val="en-US"/>
        </w:rPr>
        <w:t>labour</w:t>
      </w:r>
      <w:proofErr w:type="spellEnd"/>
      <w:r w:rsidRPr="008A611F">
        <w:rPr>
          <w:lang w:val="en-US"/>
        </w:rPr>
        <w:t xml:space="preserve"> market participation. Justification: a personal and structural component of vulnerability, since it relates to women’s agency and the </w:t>
      </w:r>
      <w:proofErr w:type="gramStart"/>
      <w:r w:rsidRPr="008A611F">
        <w:rPr>
          <w:lang w:val="en-US"/>
        </w:rPr>
        <w:t>opportunities</w:t>
      </w:r>
      <w:proofErr w:type="gramEnd"/>
      <w:r w:rsidRPr="008A611F">
        <w:rPr>
          <w:lang w:val="en-US"/>
        </w:rPr>
        <w:t xml:space="preserve"> they have in the </w:t>
      </w:r>
      <w:proofErr w:type="spellStart"/>
      <w:r w:rsidRPr="008A611F">
        <w:rPr>
          <w:lang w:val="en-US"/>
        </w:rPr>
        <w:t>labour</w:t>
      </w:r>
      <w:proofErr w:type="spellEnd"/>
      <w:r w:rsidRPr="008A611F">
        <w:rPr>
          <w:lang w:val="en-US"/>
        </w:rPr>
        <w:t xml:space="preserve"> market and the government. A more inclusive workforce can be more easily diversified and retrained, and households with more sources of income are less vulnerable to job losses.</w:t>
      </w:r>
    </w:p>
    <w:p w14:paraId="404CCE51" w14:textId="77777777" w:rsidR="008A611F" w:rsidRDefault="008A611F" w:rsidP="008A611F">
      <w:pPr>
        <w:jc w:val="both"/>
        <w:rPr>
          <w:lang w:val="en-US"/>
        </w:rPr>
      </w:pPr>
    </w:p>
    <w:p w14:paraId="1EBFA321" w14:textId="5765A0B3" w:rsidR="00825777" w:rsidRDefault="00825777" w:rsidP="008A611F">
      <w:pPr>
        <w:jc w:val="both"/>
        <w:rPr>
          <w:lang w:val="en-US"/>
        </w:rPr>
      </w:pPr>
      <w:r>
        <w:rPr>
          <w:noProof/>
          <w:lang w:val="en-US"/>
        </w:rPr>
        <w:drawing>
          <wp:inline distT="0" distB="0" distL="0" distR="0" wp14:anchorId="70D2E597" wp14:editId="72F081B5">
            <wp:extent cx="5612130" cy="2958465"/>
            <wp:effectExtent l="0" t="0" r="1270" b="635"/>
            <wp:docPr id="62718847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88473" name="Imagen 627188473"/>
                    <pic:cNvPicPr/>
                  </pic:nvPicPr>
                  <pic:blipFill>
                    <a:blip r:embed="rId18">
                      <a:extLst>
                        <a:ext uri="{28A0092B-C50C-407E-A947-70E740481C1C}">
                          <a14:useLocalDpi xmlns:a14="http://schemas.microsoft.com/office/drawing/2010/main" val="0"/>
                        </a:ext>
                      </a:extLst>
                    </a:blip>
                    <a:stretch>
                      <a:fillRect/>
                    </a:stretch>
                  </pic:blipFill>
                  <pic:spPr>
                    <a:xfrm>
                      <a:off x="0" y="0"/>
                      <a:ext cx="5612130" cy="2958465"/>
                    </a:xfrm>
                    <a:prstGeom prst="rect">
                      <a:avLst/>
                    </a:prstGeom>
                  </pic:spPr>
                </pic:pic>
              </a:graphicData>
            </a:graphic>
          </wp:inline>
        </w:drawing>
      </w:r>
    </w:p>
    <w:p w14:paraId="0A0FC1F7" w14:textId="58140AED" w:rsidR="00825777" w:rsidRDefault="00825777" w:rsidP="00825777">
      <w:pPr>
        <w:jc w:val="both"/>
        <w:rPr>
          <w:lang w:val="en-US"/>
        </w:rPr>
      </w:pPr>
      <w:r w:rsidRPr="00825777">
        <w:rPr>
          <w:lang w:val="en-US"/>
        </w:rPr>
        <w:t xml:space="preserve"> </w:t>
      </w:r>
      <w:r>
        <w:rPr>
          <w:lang w:val="en-US"/>
        </w:rPr>
        <w:t xml:space="preserve">Figure </w:t>
      </w:r>
      <w:r>
        <w:rPr>
          <w:lang w:val="en-US"/>
        </w:rPr>
        <w:t>2</w:t>
      </w:r>
      <w:r>
        <w:rPr>
          <w:lang w:val="en-US"/>
        </w:rPr>
        <w:t xml:space="preserve">. Social vulnerability to </w:t>
      </w:r>
      <w:r>
        <w:rPr>
          <w:lang w:val="en-US"/>
        </w:rPr>
        <w:t>climate transition</w:t>
      </w:r>
      <w:r>
        <w:rPr>
          <w:lang w:val="en-US"/>
        </w:rPr>
        <w:t xml:space="preserve"> impacts</w:t>
      </w:r>
    </w:p>
    <w:p w14:paraId="67A8663D" w14:textId="1990C7EC" w:rsidR="00825777" w:rsidRPr="008A611F" w:rsidRDefault="00825777" w:rsidP="008A611F">
      <w:pPr>
        <w:jc w:val="both"/>
        <w:rPr>
          <w:lang w:val="en-US"/>
        </w:rPr>
      </w:pPr>
    </w:p>
    <w:sectPr w:rsidR="00825777" w:rsidRPr="008A611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06FBF" w14:textId="77777777" w:rsidR="004A7689" w:rsidRDefault="004A7689" w:rsidP="008A611F">
      <w:pPr>
        <w:spacing w:after="0" w:line="240" w:lineRule="auto"/>
      </w:pPr>
      <w:r>
        <w:separator/>
      </w:r>
    </w:p>
  </w:endnote>
  <w:endnote w:type="continuationSeparator" w:id="0">
    <w:p w14:paraId="68848C1E" w14:textId="77777777" w:rsidR="004A7689" w:rsidRDefault="004A7689" w:rsidP="008A6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1C0F8" w14:textId="77777777" w:rsidR="004A7689" w:rsidRDefault="004A7689" w:rsidP="008A611F">
      <w:pPr>
        <w:spacing w:after="0" w:line="240" w:lineRule="auto"/>
      </w:pPr>
      <w:r>
        <w:separator/>
      </w:r>
    </w:p>
  </w:footnote>
  <w:footnote w:type="continuationSeparator" w:id="0">
    <w:p w14:paraId="5E50087F" w14:textId="77777777" w:rsidR="004A7689" w:rsidRDefault="004A7689" w:rsidP="008A611F">
      <w:pPr>
        <w:spacing w:after="0" w:line="240" w:lineRule="auto"/>
      </w:pPr>
      <w:r>
        <w:continuationSeparator/>
      </w:r>
    </w:p>
  </w:footnote>
  <w:footnote w:id="1">
    <w:p w14:paraId="54BDDEF0" w14:textId="5606EF5A" w:rsidR="00DD40E7" w:rsidRPr="00DD40E7" w:rsidRDefault="00DD40E7">
      <w:pPr>
        <w:pStyle w:val="Textonotapie"/>
      </w:pPr>
      <w:r>
        <w:rPr>
          <w:rStyle w:val="Refdenotaalpie"/>
        </w:rPr>
        <w:footnoteRef/>
      </w:r>
      <w:r>
        <w:t xml:space="preserve"> </w:t>
      </w:r>
      <w:hyperlink r:id="rId1" w:history="1">
        <w:r w:rsidRPr="00554342">
          <w:rPr>
            <w:rStyle w:val="Hipervnculo"/>
          </w:rPr>
          <w:t>https://researchrepository.ilo.org/esploro/outputs/995319441202676</w:t>
        </w:r>
      </w:hyperlink>
    </w:p>
  </w:footnote>
  <w:footnote w:id="2">
    <w:p w14:paraId="52995DE3" w14:textId="66E2A96D" w:rsidR="008A611F" w:rsidRPr="008A611F" w:rsidRDefault="008A611F">
      <w:pPr>
        <w:pStyle w:val="Textonotapie"/>
        <w:rPr>
          <w:lang w:val="es-ES_tradnl"/>
        </w:rPr>
      </w:pPr>
      <w:r>
        <w:rPr>
          <w:rStyle w:val="Refdenotaalpie"/>
        </w:rPr>
        <w:footnoteRef/>
      </w:r>
      <w:r>
        <w:t xml:space="preserve"> </w:t>
      </w:r>
      <w:hyperlink r:id="rId2" w:history="1">
        <w:r w:rsidRPr="00DD40E7">
          <w:rPr>
            <w:rStyle w:val="Hipervnculo"/>
          </w:rPr>
          <w:t>https://dx.doi.org/10.2139/ssrn.3456148</w:t>
        </w:r>
      </w:hyperlink>
    </w:p>
  </w:footnote>
  <w:footnote w:id="3">
    <w:p w14:paraId="34418EE7" w14:textId="4EE5A7FD" w:rsidR="008A611F" w:rsidRPr="00DD40E7" w:rsidRDefault="008A611F">
      <w:pPr>
        <w:pStyle w:val="Textonotapie"/>
        <w:rPr>
          <w:lang w:val="en-US"/>
        </w:rPr>
      </w:pPr>
      <w:r>
        <w:rPr>
          <w:rStyle w:val="Refdenotaalpie"/>
        </w:rPr>
        <w:footnoteRef/>
      </w:r>
      <w:r w:rsidRPr="008A611F">
        <w:rPr>
          <w:lang w:val="en-US"/>
        </w:rPr>
        <w:t xml:space="preserve"> Barrett, J. (2001). </w:t>
      </w:r>
      <w:r w:rsidRPr="008A611F">
        <w:rPr>
          <w:i/>
          <w:iCs/>
          <w:lang w:val="en-US"/>
        </w:rPr>
        <w:t>Worker transition &amp; Global climate change</w:t>
      </w:r>
      <w:r w:rsidRPr="008A611F">
        <w:rPr>
          <w:lang w:val="en-US"/>
        </w:rPr>
        <w:t>. Pew Center on Global Climate Change</w:t>
      </w:r>
    </w:p>
  </w:footnote>
  <w:footnote w:id="4">
    <w:p w14:paraId="087455EF" w14:textId="2528BD56" w:rsidR="008A611F" w:rsidRPr="00DD40E7" w:rsidRDefault="008A611F">
      <w:pPr>
        <w:pStyle w:val="Textonotapie"/>
        <w:rPr>
          <w:lang w:val="en-US"/>
        </w:rPr>
      </w:pPr>
      <w:r>
        <w:rPr>
          <w:rStyle w:val="Refdenotaalpie"/>
        </w:rPr>
        <w:footnoteRef/>
      </w:r>
      <w:r w:rsidRPr="00DD40E7">
        <w:rPr>
          <w:lang w:val="en-US"/>
        </w:rPr>
        <w:t xml:space="preserve"> </w:t>
      </w:r>
      <w:r w:rsidR="00000000">
        <w:fldChar w:fldCharType="begin"/>
      </w:r>
      <w:r w:rsidR="00000000" w:rsidRPr="00825777">
        <w:rPr>
          <w:lang w:val="en-US"/>
        </w:rPr>
        <w:instrText>HYPERLINK "https://doi.org/10.1080/09644016.2014.923632"</w:instrText>
      </w:r>
      <w:r w:rsidR="00000000">
        <w:fldChar w:fldCharType="separate"/>
      </w:r>
      <w:r w:rsidRPr="008A611F">
        <w:rPr>
          <w:rStyle w:val="Hipervnculo"/>
          <w:lang w:val="en-US"/>
        </w:rPr>
        <w:t>https://doi.org/10.1080/09644016.2014.923632</w:t>
      </w:r>
      <w:r w:rsidR="00000000">
        <w:rPr>
          <w:rStyle w:val="Hipervnculo"/>
          <w:lang w:val="en-US"/>
        </w:rPr>
        <w:fldChar w:fldCharType="end"/>
      </w:r>
    </w:p>
  </w:footnote>
  <w:footnote w:id="5">
    <w:p w14:paraId="4390EC3D" w14:textId="3F73856C" w:rsidR="008A611F" w:rsidRPr="00DD40E7" w:rsidRDefault="008A611F">
      <w:pPr>
        <w:pStyle w:val="Textonotapie"/>
        <w:rPr>
          <w:lang w:val="en-US"/>
        </w:rPr>
      </w:pPr>
      <w:r>
        <w:rPr>
          <w:rStyle w:val="Refdenotaalpie"/>
        </w:rPr>
        <w:footnoteRef/>
      </w:r>
      <w:r w:rsidRPr="00DD40E7">
        <w:rPr>
          <w:lang w:val="en-US"/>
        </w:rPr>
        <w:t xml:space="preserve"> </w:t>
      </w:r>
      <w:r w:rsidR="00000000">
        <w:fldChar w:fldCharType="begin"/>
      </w:r>
      <w:r w:rsidR="00000000" w:rsidRPr="00825777">
        <w:rPr>
          <w:lang w:val="en-US"/>
        </w:rPr>
        <w:instrText>HYPERLINK "https://doi.org/10.3390/ijerph16183458"</w:instrText>
      </w:r>
      <w:r w:rsidR="00000000">
        <w:fldChar w:fldCharType="separate"/>
      </w:r>
      <w:r w:rsidRPr="008A611F">
        <w:rPr>
          <w:rStyle w:val="Hipervnculo"/>
          <w:lang w:val="en-US"/>
        </w:rPr>
        <w:t>https://doi.org/10.3390/ijerph16183458</w:t>
      </w:r>
      <w:r w:rsidR="00000000">
        <w:rPr>
          <w:rStyle w:val="Hipervnculo"/>
          <w:lang w:val="en-US"/>
        </w:rPr>
        <w:fldChar w:fldCharType="end"/>
      </w:r>
      <w:r w:rsidRPr="008A611F">
        <w:rPr>
          <w:lang w:val="en-US"/>
        </w:rPr>
        <w:t>),</w:t>
      </w:r>
    </w:p>
  </w:footnote>
  <w:footnote w:id="6">
    <w:p w14:paraId="17D0F3DB" w14:textId="69B867FA" w:rsidR="008A611F" w:rsidRPr="00DD40E7" w:rsidRDefault="008A611F">
      <w:pPr>
        <w:pStyle w:val="Textonotapie"/>
        <w:rPr>
          <w:lang w:val="en-US"/>
        </w:rPr>
      </w:pPr>
      <w:r>
        <w:rPr>
          <w:rStyle w:val="Refdenotaalpie"/>
        </w:rPr>
        <w:footnoteRef/>
      </w:r>
      <w:r w:rsidRPr="00DD40E7">
        <w:rPr>
          <w:lang w:val="en-US"/>
        </w:rPr>
        <w:t xml:space="preserve"> </w:t>
      </w:r>
      <w:r w:rsidR="00000000">
        <w:fldChar w:fldCharType="begin"/>
      </w:r>
      <w:r w:rsidR="00000000" w:rsidRPr="00825777">
        <w:rPr>
          <w:lang w:val="en-US"/>
        </w:rPr>
        <w:instrText>HYPERLINK "https://doi.org/10.3929/ethz-b-000424345"</w:instrText>
      </w:r>
      <w:r w:rsidR="00000000">
        <w:fldChar w:fldCharType="separate"/>
      </w:r>
      <w:r w:rsidRPr="00DD40E7">
        <w:rPr>
          <w:rStyle w:val="Hipervnculo"/>
          <w:lang w:val="en-US"/>
        </w:rPr>
        <w:t>https://doi.org/10.3929/ethz-b-000424345</w:t>
      </w:r>
      <w:r w:rsidR="00000000">
        <w:rPr>
          <w:rStyle w:val="Hipervnculo"/>
          <w:lang w:val="en-US"/>
        </w:rPr>
        <w:fldChar w:fldCharType="end"/>
      </w:r>
      <w:r w:rsidRPr="00DD40E7">
        <w:rPr>
          <w:lang w:val="en-US"/>
        </w:rPr>
        <w:t xml:space="preserve">, </w:t>
      </w:r>
      <w:hyperlink r:id="rId3" w:history="1">
        <w:r w:rsidRPr="00DD40E7">
          <w:rPr>
            <w:rStyle w:val="Hipervnculo"/>
            <w:lang w:val="en-US"/>
          </w:rPr>
          <w:t>https://doi.org/10.1088/1748-9326/acc347</w:t>
        </w:r>
      </w:hyperlink>
    </w:p>
  </w:footnote>
  <w:footnote w:id="7">
    <w:p w14:paraId="43392086" w14:textId="7FD0F37A" w:rsidR="008A611F" w:rsidRPr="00DD40E7" w:rsidRDefault="008A611F">
      <w:pPr>
        <w:pStyle w:val="Textonotapie"/>
        <w:rPr>
          <w:lang w:val="en-US"/>
        </w:rPr>
      </w:pPr>
      <w:r>
        <w:rPr>
          <w:rStyle w:val="Refdenotaalpie"/>
        </w:rPr>
        <w:footnoteRef/>
      </w:r>
      <w:r w:rsidRPr="00DD40E7">
        <w:rPr>
          <w:lang w:val="en-US"/>
        </w:rPr>
        <w:t xml:space="preserve"> </w:t>
      </w:r>
      <w:r w:rsidR="00000000">
        <w:fldChar w:fldCharType="begin"/>
      </w:r>
      <w:r w:rsidR="00000000" w:rsidRPr="00825777">
        <w:rPr>
          <w:lang w:val="en-US"/>
        </w:rPr>
        <w:instrText>HYPERLINK "https://doi.org/10.1080/1059924X.2021.1849211"</w:instrText>
      </w:r>
      <w:r w:rsidR="00000000">
        <w:fldChar w:fldCharType="separate"/>
      </w:r>
      <w:r w:rsidRPr="008A611F">
        <w:rPr>
          <w:rStyle w:val="Hipervnculo"/>
          <w:lang w:val="en-US"/>
        </w:rPr>
        <w:t>https://doi.org/10.1080/1059924X.2021.1849211</w:t>
      </w:r>
      <w:r w:rsidR="00000000">
        <w:rPr>
          <w:rStyle w:val="Hipervnculo"/>
          <w:lang w:val="en-US"/>
        </w:rPr>
        <w:fldChar w:fldCharType="end"/>
      </w:r>
    </w:p>
  </w:footnote>
  <w:footnote w:id="8">
    <w:p w14:paraId="1D14B8BB" w14:textId="04748EAE" w:rsidR="008A611F" w:rsidRPr="00DD40E7" w:rsidRDefault="008A611F">
      <w:pPr>
        <w:pStyle w:val="Textonotapie"/>
        <w:rPr>
          <w:lang w:val="en-US"/>
        </w:rPr>
      </w:pPr>
      <w:r>
        <w:rPr>
          <w:rStyle w:val="Refdenotaalpie"/>
        </w:rPr>
        <w:footnoteRef/>
      </w:r>
      <w:r w:rsidRPr="00DD40E7">
        <w:rPr>
          <w:lang w:val="en-US"/>
        </w:rPr>
        <w:t xml:space="preserve"> </w:t>
      </w:r>
      <w:r w:rsidR="00000000">
        <w:fldChar w:fldCharType="begin"/>
      </w:r>
      <w:r w:rsidR="00000000" w:rsidRPr="00825777">
        <w:rPr>
          <w:lang w:val="en-US"/>
        </w:rPr>
        <w:instrText>HYPERLINK "https://doi.org/10.1177/089692051988095"</w:instrText>
      </w:r>
      <w:r w:rsidR="00000000">
        <w:fldChar w:fldCharType="separate"/>
      </w:r>
      <w:r w:rsidRPr="00DD40E7">
        <w:rPr>
          <w:rStyle w:val="Hipervnculo"/>
          <w:lang w:val="en-US"/>
        </w:rPr>
        <w:t>https://doi.org/10.1177/089692051988095</w:t>
      </w:r>
      <w:r w:rsidR="00000000">
        <w:rPr>
          <w:rStyle w:val="Hipervnculo"/>
          <w:lang w:val="en-US"/>
        </w:rPr>
        <w:fldChar w:fldCharType="end"/>
      </w:r>
      <w:r w:rsidRPr="00DD40E7">
        <w:rPr>
          <w:u w:val="single"/>
          <w:lang w:val="en-US"/>
        </w:rPr>
        <w:t xml:space="preserve">, </w:t>
      </w:r>
      <w:hyperlink r:id="rId4" w:history="1">
        <w:r w:rsidRPr="00DD40E7">
          <w:rPr>
            <w:rStyle w:val="Hipervnculo"/>
            <w:lang w:val="en-US"/>
          </w:rPr>
          <w:t>https://doi.org/10.3390/ijerph15020247</w:t>
        </w:r>
      </w:hyperlink>
    </w:p>
  </w:footnote>
  <w:footnote w:id="9">
    <w:p w14:paraId="331DDF39" w14:textId="3E9AC17A" w:rsidR="008A611F" w:rsidRPr="00DD40E7" w:rsidRDefault="008A611F">
      <w:pPr>
        <w:pStyle w:val="Textonotapie"/>
        <w:rPr>
          <w:lang w:val="en-US"/>
        </w:rPr>
      </w:pPr>
      <w:r>
        <w:rPr>
          <w:rStyle w:val="Refdenotaalpie"/>
        </w:rPr>
        <w:footnoteRef/>
      </w:r>
      <w:r w:rsidRPr="00DD40E7">
        <w:rPr>
          <w:lang w:val="en-US"/>
        </w:rPr>
        <w:t xml:space="preserve"> </w:t>
      </w:r>
      <w:r w:rsidR="00000000">
        <w:fldChar w:fldCharType="begin"/>
      </w:r>
      <w:r w:rsidR="00000000" w:rsidRPr="00825777">
        <w:rPr>
          <w:lang w:val="en-US"/>
        </w:rPr>
        <w:instrText>HYPERLINK "http://dx.doi.org/10.2139/ssrn.3862256"</w:instrText>
      </w:r>
      <w:r w:rsidR="00000000">
        <w:fldChar w:fldCharType="separate"/>
      </w:r>
      <w:r w:rsidRPr="008A611F">
        <w:rPr>
          <w:rStyle w:val="Hipervnculo"/>
          <w:lang w:val="en-US"/>
        </w:rPr>
        <w:t>http://dx.doi.org/10.2139/ssrn.3862256</w:t>
      </w:r>
      <w:r w:rsidR="00000000">
        <w:rPr>
          <w:rStyle w:val="Hipervnculo"/>
          <w:lang w:val="en-US"/>
        </w:rPr>
        <w:fldChar w:fldCharType="end"/>
      </w:r>
    </w:p>
  </w:footnote>
  <w:footnote w:id="10">
    <w:p w14:paraId="48D0F206" w14:textId="77372DD4" w:rsidR="008A611F" w:rsidRPr="00DD40E7" w:rsidRDefault="008A611F">
      <w:pPr>
        <w:pStyle w:val="Textonotapie"/>
        <w:rPr>
          <w:lang w:val="en-US"/>
        </w:rPr>
      </w:pPr>
      <w:r>
        <w:rPr>
          <w:rStyle w:val="Refdenotaalpie"/>
        </w:rPr>
        <w:footnoteRef/>
      </w:r>
      <w:r w:rsidRPr="00DD40E7">
        <w:rPr>
          <w:lang w:val="en-US"/>
        </w:rPr>
        <w:t xml:space="preserve"> </w:t>
      </w:r>
      <w:r w:rsidR="00000000">
        <w:fldChar w:fldCharType="begin"/>
      </w:r>
      <w:r w:rsidR="00000000" w:rsidRPr="00825777">
        <w:rPr>
          <w:lang w:val="en-US"/>
        </w:rPr>
        <w:instrText>HYPERLINK "https://doi.org/10.1007/978-3-030-75834-9_15"</w:instrText>
      </w:r>
      <w:r w:rsidR="00000000">
        <w:fldChar w:fldCharType="separate"/>
      </w:r>
      <w:r w:rsidRPr="008A611F">
        <w:rPr>
          <w:rStyle w:val="Hipervnculo"/>
          <w:lang w:val="en-US"/>
        </w:rPr>
        <w:t>https://doi.org/10.1007/978-3-030-75834-9_15</w:t>
      </w:r>
      <w:r w:rsidR="00000000">
        <w:rPr>
          <w:rStyle w:val="Hipervnculo"/>
          <w:lang w:val="en-US"/>
        </w:rPr>
        <w:fldChar w:fldCharType="end"/>
      </w:r>
    </w:p>
  </w:footnote>
  <w:footnote w:id="11">
    <w:p w14:paraId="086A245F" w14:textId="225B743F" w:rsidR="008A611F" w:rsidRPr="00DD40E7" w:rsidRDefault="008A611F">
      <w:pPr>
        <w:pStyle w:val="Textonotapie"/>
        <w:rPr>
          <w:lang w:val="en-US"/>
        </w:rPr>
      </w:pPr>
      <w:r>
        <w:rPr>
          <w:rStyle w:val="Refdenotaalpie"/>
        </w:rPr>
        <w:footnoteRef/>
      </w:r>
      <w:r w:rsidRPr="00DD40E7">
        <w:rPr>
          <w:lang w:val="en-US"/>
        </w:rPr>
        <w:t xml:space="preserve"> </w:t>
      </w:r>
      <w:r w:rsidR="00000000">
        <w:fldChar w:fldCharType="begin"/>
      </w:r>
      <w:r w:rsidR="00000000" w:rsidRPr="00825777">
        <w:rPr>
          <w:lang w:val="en-US"/>
        </w:rPr>
        <w:instrText>HYPERLINK "https://doi.org/10.1016/j.erss.2024.103672"</w:instrText>
      </w:r>
      <w:r w:rsidR="00000000">
        <w:fldChar w:fldCharType="separate"/>
      </w:r>
      <w:r w:rsidRPr="008A611F">
        <w:rPr>
          <w:rStyle w:val="Hipervnculo"/>
          <w:lang w:val="en-US"/>
        </w:rPr>
        <w:t>https://doi.org/10.1016/j.erss.2024.103672</w:t>
      </w:r>
      <w:r w:rsidR="00000000">
        <w:rPr>
          <w:rStyle w:val="Hipervnculo"/>
          <w:lang w:val="en-US"/>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F9460EC"/>
    <w:lvl w:ilvl="0" w:tplc="9774D826">
      <w:start w:val="1"/>
      <w:numFmt w:val="decimal"/>
      <w:lvlText w:val="%1."/>
      <w:lvlJc w:val="left"/>
      <w:pPr>
        <w:ind w:left="720" w:hanging="360"/>
      </w:pPr>
      <w:rPr>
        <w:b/>
        <w:bC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8A8D868"/>
    <w:lvl w:ilvl="0" w:tplc="B85C3DEC">
      <w:start w:val="1"/>
      <w:numFmt w:val="decimal"/>
      <w:lvlText w:val="%1."/>
      <w:lvlJc w:val="left"/>
      <w:pPr>
        <w:ind w:left="720" w:hanging="360"/>
      </w:pPr>
      <w:rPr>
        <w:b/>
        <w:bC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69918092">
    <w:abstractNumId w:val="0"/>
  </w:num>
  <w:num w:numId="2" w16cid:durableId="147791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11F"/>
    <w:rsid w:val="0000450E"/>
    <w:rsid w:val="004A7689"/>
    <w:rsid w:val="004F2B4F"/>
    <w:rsid w:val="005904BB"/>
    <w:rsid w:val="00825777"/>
    <w:rsid w:val="008A611F"/>
    <w:rsid w:val="00DD40E7"/>
    <w:rsid w:val="00EA1A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7817675"/>
  <w15:chartTrackingRefBased/>
  <w15:docId w15:val="{79ACFB04-1EB5-014B-9A6C-EA24CD0C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61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A61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A611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A61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61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61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61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61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61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61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A61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A611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A611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A611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A61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61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61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611F"/>
    <w:rPr>
      <w:rFonts w:eastAsiaTheme="majorEastAsia" w:cstheme="majorBidi"/>
      <w:color w:val="272727" w:themeColor="text1" w:themeTint="D8"/>
    </w:rPr>
  </w:style>
  <w:style w:type="paragraph" w:styleId="Ttulo">
    <w:name w:val="Title"/>
    <w:basedOn w:val="Normal"/>
    <w:next w:val="Normal"/>
    <w:link w:val="TtuloCar"/>
    <w:uiPriority w:val="10"/>
    <w:qFormat/>
    <w:rsid w:val="008A6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61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61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61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611F"/>
    <w:pPr>
      <w:spacing w:before="160"/>
      <w:jc w:val="center"/>
    </w:pPr>
    <w:rPr>
      <w:i/>
      <w:iCs/>
      <w:color w:val="404040" w:themeColor="text1" w:themeTint="BF"/>
    </w:rPr>
  </w:style>
  <w:style w:type="character" w:customStyle="1" w:styleId="CitaCar">
    <w:name w:val="Cita Car"/>
    <w:basedOn w:val="Fuentedeprrafopredeter"/>
    <w:link w:val="Cita"/>
    <w:uiPriority w:val="29"/>
    <w:rsid w:val="008A611F"/>
    <w:rPr>
      <w:i/>
      <w:iCs/>
      <w:color w:val="404040" w:themeColor="text1" w:themeTint="BF"/>
    </w:rPr>
  </w:style>
  <w:style w:type="paragraph" w:styleId="Prrafodelista">
    <w:name w:val="List Paragraph"/>
    <w:basedOn w:val="Normal"/>
    <w:uiPriority w:val="34"/>
    <w:qFormat/>
    <w:rsid w:val="008A611F"/>
    <w:pPr>
      <w:ind w:left="720"/>
      <w:contextualSpacing/>
    </w:pPr>
  </w:style>
  <w:style w:type="character" w:styleId="nfasisintenso">
    <w:name w:val="Intense Emphasis"/>
    <w:basedOn w:val="Fuentedeprrafopredeter"/>
    <w:uiPriority w:val="21"/>
    <w:qFormat/>
    <w:rsid w:val="008A611F"/>
    <w:rPr>
      <w:i/>
      <w:iCs/>
      <w:color w:val="0F4761" w:themeColor="accent1" w:themeShade="BF"/>
    </w:rPr>
  </w:style>
  <w:style w:type="paragraph" w:styleId="Citadestacada">
    <w:name w:val="Intense Quote"/>
    <w:basedOn w:val="Normal"/>
    <w:next w:val="Normal"/>
    <w:link w:val="CitadestacadaCar"/>
    <w:uiPriority w:val="30"/>
    <w:qFormat/>
    <w:rsid w:val="008A6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A611F"/>
    <w:rPr>
      <w:i/>
      <w:iCs/>
      <w:color w:val="0F4761" w:themeColor="accent1" w:themeShade="BF"/>
    </w:rPr>
  </w:style>
  <w:style w:type="character" w:styleId="Referenciaintensa">
    <w:name w:val="Intense Reference"/>
    <w:basedOn w:val="Fuentedeprrafopredeter"/>
    <w:uiPriority w:val="32"/>
    <w:qFormat/>
    <w:rsid w:val="008A611F"/>
    <w:rPr>
      <w:b/>
      <w:bCs/>
      <w:smallCaps/>
      <w:color w:val="0F4761" w:themeColor="accent1" w:themeShade="BF"/>
      <w:spacing w:val="5"/>
    </w:rPr>
  </w:style>
  <w:style w:type="character" w:styleId="Hipervnculo">
    <w:name w:val="Hyperlink"/>
    <w:basedOn w:val="Fuentedeprrafopredeter"/>
    <w:uiPriority w:val="99"/>
    <w:unhideWhenUsed/>
    <w:rsid w:val="008A611F"/>
    <w:rPr>
      <w:color w:val="467886" w:themeColor="hyperlink"/>
      <w:u w:val="single"/>
    </w:rPr>
  </w:style>
  <w:style w:type="character" w:styleId="Mencinsinresolver">
    <w:name w:val="Unresolved Mention"/>
    <w:basedOn w:val="Fuentedeprrafopredeter"/>
    <w:uiPriority w:val="99"/>
    <w:semiHidden/>
    <w:unhideWhenUsed/>
    <w:rsid w:val="008A611F"/>
    <w:rPr>
      <w:color w:val="605E5C"/>
      <w:shd w:val="clear" w:color="auto" w:fill="E1DFDD"/>
    </w:rPr>
  </w:style>
  <w:style w:type="character" w:styleId="Hipervnculovisitado">
    <w:name w:val="FollowedHyperlink"/>
    <w:basedOn w:val="Fuentedeprrafopredeter"/>
    <w:uiPriority w:val="99"/>
    <w:semiHidden/>
    <w:unhideWhenUsed/>
    <w:rsid w:val="008A611F"/>
    <w:rPr>
      <w:color w:val="96607D" w:themeColor="followedHyperlink"/>
      <w:u w:val="single"/>
    </w:rPr>
  </w:style>
  <w:style w:type="paragraph" w:styleId="Textonotapie">
    <w:name w:val="footnote text"/>
    <w:basedOn w:val="Normal"/>
    <w:link w:val="TextonotapieCar"/>
    <w:uiPriority w:val="99"/>
    <w:semiHidden/>
    <w:unhideWhenUsed/>
    <w:rsid w:val="008A611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A611F"/>
    <w:rPr>
      <w:sz w:val="20"/>
      <w:szCs w:val="20"/>
    </w:rPr>
  </w:style>
  <w:style w:type="character" w:styleId="Refdenotaalpie">
    <w:name w:val="footnote reference"/>
    <w:basedOn w:val="Fuentedeprrafopredeter"/>
    <w:uiPriority w:val="99"/>
    <w:semiHidden/>
    <w:unhideWhenUsed/>
    <w:rsid w:val="008A61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wcc.287" TargetMode="External"/><Relationship Id="rId13" Type="http://schemas.openxmlformats.org/officeDocument/2006/relationships/hyperlink" Target="https://doi.org/10.1289%2Fehp.1002233" TargetMode="Externa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38%2Fs41612-023-00487-z"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doi.org/10.1002/wcc.45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233%2FSJI-140840" TargetMode="External"/><Relationship Id="rId5" Type="http://schemas.openxmlformats.org/officeDocument/2006/relationships/webSettings" Target="webSettings.xml"/><Relationship Id="rId15" Type="http://schemas.openxmlformats.org/officeDocument/2006/relationships/hyperlink" Target="https://doi.org/10.1080/13552070215903" TargetMode="External"/><Relationship Id="rId10" Type="http://schemas.openxmlformats.org/officeDocument/2006/relationships/hyperlink" Target="https://doi.org/10.1146/annurev-publhealth-012420-10502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07/s10113-017-1105-9" TargetMode="External"/><Relationship Id="rId14" Type="http://schemas.openxmlformats.org/officeDocument/2006/relationships/hyperlink" Target="https://www.ipcc.ch/site/assets/uploads/2018/02/WGIIAR5-Chap9_FINAL.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88/1748-9326/acc347" TargetMode="External"/><Relationship Id="rId2" Type="http://schemas.openxmlformats.org/officeDocument/2006/relationships/hyperlink" Target="https://dx.doi.org/10.2139/ssrn.3456148" TargetMode="External"/><Relationship Id="rId1" Type="http://schemas.openxmlformats.org/officeDocument/2006/relationships/hyperlink" Target="https://researchrepository.ilo.org/esploro/outputs/995319441202676" TargetMode="External"/><Relationship Id="rId4" Type="http://schemas.openxmlformats.org/officeDocument/2006/relationships/hyperlink" Target="https://doi.org/10.3390/ijerph1502024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8A9A7-EE0B-474B-B695-3F4CA9AB8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1057</Words>
  <Characters>5814</Characters>
  <Application>Microsoft Office Word</Application>
  <DocSecurity>0</DocSecurity>
  <Lines>48</Lines>
  <Paragraphs>13</Paragraphs>
  <ScaleCrop>false</ScaleCrop>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Muñoz</dc:creator>
  <cp:keywords/>
  <dc:description/>
  <cp:lastModifiedBy>Rodrigo Muñoz</cp:lastModifiedBy>
  <cp:revision>4</cp:revision>
  <dcterms:created xsi:type="dcterms:W3CDTF">2024-07-24T17:52:00Z</dcterms:created>
  <dcterms:modified xsi:type="dcterms:W3CDTF">2024-07-24T18:25:00Z</dcterms:modified>
</cp:coreProperties>
</file>