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1F3A5F"/>
          <w:sz w:val="40"/>
          <w:szCs w:val="40"/>
        </w:rPr>
        <w:t xml:space="preserve">ORMOND STUDIO</w:t>
      </w:r>
    </w:p>
    <w:p>
      <w:pPr>
        <w:spacing w:before="200"/>
        <w:jc w:val="center"/>
      </w:pPr>
      <w:r>
        <w:rPr>
          <w:b/>
          <w:bCs/>
          <w:color w:val="B08D57"/>
          <w:sz w:val="32"/>
          <w:szCs w:val="32"/>
        </w:rPr>
        <w:t xml:space="preserve">Discursos de Vendas por Segmento</w:t>
      </w:r>
    </w:p>
    <w:p>
      <w:pPr>
        <w:spacing w:after="100" w:before="100"/>
        <w:jc w:val="center"/>
      </w:pPr>
      <w:r>
        <w:rPr>
          <w:i/>
          <w:iCs/>
          <w:color w:val="2B2B2B"/>
          <w:sz w:val="24"/>
          <w:szCs w:val="24"/>
        </w:rPr>
        <w:t xml:space="preserve">Novos Mercados — Complemento ao Playbook Comercial</w:t>
      </w:r>
    </w:p>
    <w:p>
      <w:pPr>
        <w:spacing w:before="400"/>
        <w:jc w:val="center"/>
      </w:pPr>
      <w:r>
        <w:rPr>
          <w:color w:val="2B2B2B"/>
          <w:sz w:val="20"/>
          <w:szCs w:val="20"/>
        </w:rPr>
        <w:t xml:space="preserve">Fotografia e vídeo publicitário • Florianópolis, SC • 15 anos de mercado</w:t>
      </w:r>
    </w:p>
    <w:p>
      <w:pPr>
        <w:spacing w:before="100"/>
        <w:jc w:val="center"/>
      </w:pPr>
      <w:r>
        <w:rPr>
          <w:color w:val="2B2B2B"/>
          <w:sz w:val="20"/>
          <w:szCs w:val="20"/>
        </w:rPr>
        <w:t xml:space="preserve">Julho de 2026</w:t>
      </w:r>
    </w:p>
    <w:p>
      <w:r>
        <w:br w:type="page"/>
      </w:r>
    </w:p>
    <w:p>
      <w:pPr>
        <w:pStyle w:val="Heading1"/>
        <w:pBdr>
          <w:bottom w:val="single" w:color="B08D57" w:sz="6" w:space="4"/>
        </w:pBdr>
        <w:spacing w:after="200" w:before="400"/>
      </w:pPr>
      <w:r>
        <w:rPr>
          <w:b/>
          <w:bCs/>
          <w:color w:val="1F3A5F"/>
          <w:sz w:val="30"/>
          <w:szCs w:val="30"/>
        </w:rPr>
        <w:t xml:space="preserve">0. Como Usar Este Documento</w:t>
      </w:r>
    </w:p>
    <w:p>
      <w:pPr>
        <w:spacing w:after="140"/>
      </w:pPr>
      <w:r>
        <w:rPr>
          <w:b w:val="false"/>
          <w:bCs w:val="false"/>
          <w:i w:val="false"/>
          <w:iCs w:val="false"/>
          <w:color w:val="2B2B2B"/>
          <w:sz w:val="21"/>
          <w:szCs w:val="21"/>
        </w:rPr>
        <w:t xml:space="preserve">Este documento complementa o Playbook_Comercial_Ormond_Studio_v3.docx. Ele não substitui o funil, os critérios de qualificação, as regras de follow-up e os KPIs já definidos lá (Seções 3.1, 5, 5.1 e 10) — aplica esse mesmo método a seis novos segmentos identificados como oportunidade de expansão de mercado.</w:t>
      </w:r>
    </w:p>
    <w:p>
      <w:pPr>
        <w:spacing w:after="140"/>
      </w:pPr>
      <w:r>
        <w:rPr>
          <w:b w:val="false"/>
          <w:bCs w:val="false"/>
          <w:i w:val="false"/>
          <w:iCs w:val="false"/>
          <w:color w:val="2B2B2B"/>
          <w:sz w:val="21"/>
          <w:szCs w:val="21"/>
        </w:rPr>
        <w:t xml:space="preserve">Cada segmento abaixo segue a mesma estrutura para funcionar como um roteiro tutelado, do primeiro contato até a conversão: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B2B2B"/>
          <w:sz w:val="21"/>
          <w:szCs w:val="21"/>
        </w:rPr>
        <w:t xml:space="preserve">Perfil-alvo (quem é o comprador)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B2B2B"/>
          <w:sz w:val="21"/>
          <w:szCs w:val="21"/>
        </w:rPr>
        <w:t xml:space="preserve">Dor / gatilho de compra (o que motiva a compra agora)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B2B2B"/>
          <w:sz w:val="21"/>
          <w:szCs w:val="21"/>
        </w:rPr>
        <w:t xml:space="preserve">Prova social a usar (case que sustenta a credibilidade)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B2B2B"/>
          <w:sz w:val="21"/>
          <w:szCs w:val="21"/>
        </w:rPr>
        <w:t xml:space="preserve">Oferta (o que efetivamente vender)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B2B2B"/>
          <w:sz w:val="21"/>
          <w:szCs w:val="21"/>
        </w:rPr>
        <w:t xml:space="preserve">Canais de prospecção (onde encontrar o lead)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B2B2B"/>
          <w:sz w:val="21"/>
          <w:szCs w:val="21"/>
        </w:rPr>
        <w:t xml:space="preserve">Scripts de abordagem (WhatsApp e e-mail, prontos para adaptar)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B2B2B"/>
          <w:sz w:val="21"/>
          <w:szCs w:val="21"/>
        </w:rPr>
        <w:t xml:space="preserve">Perguntas de descoberta (o que perguntar depois do “sim”)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B2B2B"/>
          <w:sz w:val="21"/>
          <w:szCs w:val="21"/>
        </w:rPr>
        <w:t xml:space="preserve">Objeções específicas e como responder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B2B2B"/>
          <w:sz w:val="21"/>
          <w:szCs w:val="21"/>
        </w:rPr>
        <w:t xml:space="preserve">Follow-up (ajuste de cadência para o perfil do segmento)</w:t>
      </w:r>
    </w:p>
    <w:p>
      <w:pPr>
        <w:spacing w:after="140"/>
      </w:pPr>
      <w:r>
        <w:rPr>
          <w:b/>
          <w:bCs/>
          <w:i w:val="false"/>
          <w:iCs w:val="false"/>
          <w:color w:val="2B2B2B"/>
          <w:sz w:val="21"/>
          <w:szCs w:val="21"/>
        </w:rPr>
        <w:t xml:space="preserve">Regra geral: sempre personalizar nome do contato, empresa e gatilho específico identificado na pesquisa — os scripts são ponto de partida, não texto decorado.</w:t>
      </w:r>
    </w:p>
    <w:p>
      <w:pPr>
        <w:pStyle w:val="Heading1"/>
        <w:pBdr>
          <w:bottom w:val="single" w:color="B08D57" w:sz="6" w:space="4"/>
        </w:pBdr>
        <w:spacing w:after="200" w:before="400"/>
      </w:pPr>
      <w:r>
        <w:rPr>
          <w:b/>
          <w:bCs/>
          <w:color w:val="1F3A5F"/>
          <w:sz w:val="30"/>
          <w:szCs w:val="30"/>
        </w:rPr>
        <w:t xml:space="preserve">1. Indústria de Maquinário e Manufatura B2B</w:t>
      </w:r>
    </w:p>
    <w:p>
      <w:pPr>
        <w:spacing w:after="140"/>
      </w:pPr>
      <w:r>
        <w:rPr>
          <w:b w:val="false"/>
          <w:bCs w:val="false"/>
          <w:i/>
          <w:iCs/>
          <w:color w:val="2B2B2B"/>
          <w:sz w:val="21"/>
          <w:szCs w:val="21"/>
        </w:rPr>
        <w:t xml:space="preserve">Fábricas, metalúrgicas e fabricantes de máquinas e equipamentos (agrícolas, industriais, plásticos, metalmecânico) — polos de Joinville, Jaraguá do Sul, Blumenau e Brusque são prioridade geográfica.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shd w:fill="F2EF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B2B2B"/>
                <w:sz w:val="20"/>
                <w:szCs w:val="20"/>
              </w:rPr>
              <w:t xml:space="preserve">Perfil-alvo / comprador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Diretor comercial/industrial, gerente de marketing industrial, sócio-diretor de fábrica, gerente de produto, responsável por exportação ou por representantes/distribuidores comerciais.</w:t>
            </w:r>
          </w:p>
        </w:tc>
      </w:tr>
      <w:tr>
        <w:tc>
          <w:tcPr>
            <w:tcW w:type="dxa" w:w="2400"/>
            <w:shd w:fill="F2EF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B2B2B"/>
                <w:sz w:val="20"/>
                <w:szCs w:val="20"/>
              </w:rPr>
              <w:t xml:space="preserve">Dor / gatilho de compra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Catálogo técnico e site com fotos antigas ou amadoras; feira setorial próxima (Mercopar, Feimafe, Agrishow, Fimma) exigindo material atualizado; lançamento de nova linha/máquina; expansão para exportação exigindo padrão internacional de imagem; equipe comercial e representantes vendendo à distância sem material de apoio visual.</w:t>
            </w:r>
          </w:p>
        </w:tc>
      </w:tr>
      <w:tr>
        <w:tc>
          <w:tcPr>
            <w:tcW w:type="dxa" w:w="2400"/>
            <w:shd w:fill="F2EF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B2B2B"/>
                <w:sz w:val="20"/>
                <w:szCs w:val="20"/>
              </w:rPr>
              <w:t xml:space="preserve">Prova social a usar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Case Thera (sistema completo de fotografia de produto) como prova de método e recorrência; reforçar capacidade de fotografia técnica em ambiente fabril e, quando aplicável, drone para vista aérea de planta industrial.</w:t>
            </w:r>
          </w:p>
        </w:tc>
      </w:tr>
      <w:tr>
        <w:tc>
          <w:tcPr>
            <w:tcW w:type="dxa" w:w="2400"/>
            <w:shd w:fill="F2EF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B2B2B"/>
                <w:sz w:val="20"/>
                <w:szCs w:val="20"/>
              </w:rPr>
              <w:t xml:space="preserve">O que vender (oferta)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Still de produto industrial (estúdio e in loco, com a máquina em operação); vídeo institucional do processo produtivo e da fábrica; cobertura de feiras e lançamentos; fotografia aérea de planta/galpão; banco de imagens padronizado para catálogo, site, mídia kit e representantes; conteúdo para LinkedIn institucional (bastidores, equipe, processo).</w:t>
            </w:r>
          </w:p>
        </w:tc>
      </w:tr>
      <w:tr>
        <w:tc>
          <w:tcPr>
            <w:tcW w:type="dxa" w:w="2400"/>
            <w:shd w:fill="F2EF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B2B2B"/>
                <w:sz w:val="20"/>
                <w:szCs w:val="20"/>
              </w:rPr>
              <w:t xml:space="preserve">Canais de prospecção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LinkedIn filtrando diretor industrial/comercial e gerente de marketing por setor (metalmecânico, máquinas agrícolas, plásticos, embalagens) nos polos industriais de SC; sindicatos e associações (Fiesc e sindicatos setoriais) para agenda de feiras; calendário de feiras setoriais regionais/nacionais; câmaras de comércio exterior para empresas com pauta de exportação.</w:t>
            </w:r>
          </w:p>
        </w:tc>
      </w:tr>
    </w:tbl>
    <w:p>
      <w:pPr>
        <w:pStyle w:val="Heading2"/>
        <w:spacing w:after="120" w:before="300"/>
      </w:pPr>
      <w:r>
        <w:rPr>
          <w:b/>
          <w:bCs/>
          <w:color w:val="1F3A5F"/>
          <w:sz w:val="24"/>
          <w:szCs w:val="24"/>
        </w:rPr>
        <w:t xml:space="preserve">Scripts de abordagem</w:t>
      </w:r>
    </w:p>
    <w:p>
      <w:pPr>
        <w:pBdr>
          <w:left w:val="single" w:color="B08D57" w:sz="12" w:space="8"/>
        </w:pBdr>
        <w:spacing w:after="160" w:before="60"/>
        <w:ind w:left="300"/>
      </w:pPr>
      <w:r>
        <w:rPr>
          <w:b/>
          <w:bCs/>
          <w:color w:val="1F3A5F"/>
          <w:sz w:val="21"/>
          <w:szCs w:val="21"/>
        </w:rPr>
        <w:t xml:space="preserve">WhatsApp — primeiro contato: </w:t>
      </w:r>
      <w:r>
        <w:rPr>
          <w:i/>
          <w:iCs/>
          <w:color w:val="2B2B2B"/>
          <w:sz w:val="21"/>
          <w:szCs w:val="21"/>
        </w:rPr>
        <w:t xml:space="preserve">Oi [Nome], tudo bem? Aqui é [Agente], do Ormond Studio — fotografia e vídeo publicitário de Floripa, 15 anos de mercado atendendo indústria e produto. Vi que a [Empresa] deve estar se preparando para a [feira/lançamento] e imaginei que o material de imagem da linha [produto/máquina] esteja na pauta. Temos experiência em fotografia técnica de produto e vídeo institucional dentro de ambiente fabril — faz sentido eu te mandar 2-3 exemplos parecidos com o que já fizemos para indústria?</w:t>
      </w:r>
    </w:p>
    <w:p>
      <w:pPr>
        <w:pBdr>
          <w:left w:val="single" w:color="B08D57" w:sz="12" w:space="8"/>
        </w:pBdr>
        <w:spacing w:after="160" w:before="60"/>
        <w:ind w:left="300"/>
      </w:pPr>
      <w:r>
        <w:rPr>
          <w:b/>
          <w:bCs/>
          <w:color w:val="1F3A5F"/>
          <w:sz w:val="21"/>
          <w:szCs w:val="21"/>
        </w:rPr>
        <w:t xml:space="preserve">E-mail (contato mais formal): </w:t>
      </w:r>
      <w:r>
        <w:rPr>
          <w:i/>
          <w:iCs/>
          <w:color w:val="2B2B2B"/>
          <w:sz w:val="21"/>
          <w:szCs w:val="21"/>
        </w:rPr>
        <w:t xml:space="preserve">Assunto: Material de imagem técnico para [Empresa] — [feira/lançamento]. Olá [Nome], meu nome é [Agente], do Ormond Studio, estúdio de fotografia e vídeo publicitário sediado em Florianópolis, com 15 anos de atuação e experiência documentada em fotografia de produto (case Thera). Notei [gatilho: feira/lançamento/expansão] da [Empresa] e acredito que podemos apoiar com still de produto, vídeo institucional de processo produtivo e cobertura de feira, com logística completa. Podemos agendar 15 minutos essa semana para entender a demanda? Abraço, [Agente] — Ormond Studio.</w:t>
      </w:r>
    </w:p>
    <w:p>
      <w:pPr>
        <w:pStyle w:val="Heading2"/>
        <w:spacing w:after="120" w:before="300"/>
      </w:pPr>
      <w:r>
        <w:rPr>
          <w:b/>
          <w:bCs/>
          <w:color w:val="1F3A5F"/>
          <w:sz w:val="24"/>
          <w:szCs w:val="24"/>
        </w:rPr>
        <w:t xml:space="preserve">Perguntas de descoberta específicas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B2B2B"/>
          <w:sz w:val="21"/>
          <w:szCs w:val="21"/>
        </w:rPr>
        <w:t xml:space="preserve">Quais máquinas/produtos precisam de material de imagem prioritário?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B2B2B"/>
          <w:sz w:val="21"/>
          <w:szCs w:val="21"/>
        </w:rPr>
        <w:t xml:space="preserve">O material será usado em catálogo impresso, site, mídia kit para representantes, ou feira?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B2B2B"/>
          <w:sz w:val="21"/>
          <w:szCs w:val="21"/>
        </w:rPr>
        <w:t xml:space="preserve">Existe um padrão de imagem de concorrente (nacional ou internacional) que vocês querem igualar ou superar?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B2B2B"/>
          <w:sz w:val="21"/>
          <w:szCs w:val="21"/>
        </w:rPr>
        <w:t xml:space="preserve">A fotografia precisa ser feita com a linha em operação ou pode ser em parada programada/estúdio?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B2B2B"/>
          <w:sz w:val="21"/>
          <w:szCs w:val="21"/>
        </w:rPr>
        <w:t xml:space="preserve">Há alguma norma de segurança do trabalho (NR) que a equipe precisa seguir durante a sessão?</w:t>
      </w:r>
    </w:p>
    <w:p>
      <w:pPr>
        <w:pStyle w:val="Heading2"/>
        <w:spacing w:after="120" w:before="300"/>
      </w:pPr>
      <w:r>
        <w:rPr>
          <w:b/>
          <w:bCs/>
          <w:color w:val="1F3A5F"/>
          <w:sz w:val="24"/>
          <w:szCs w:val="24"/>
        </w:rPr>
        <w:t xml:space="preserve">Objeções específicas do segmento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57"/>
        <w:gridCol w:w="5803"/>
      </w:tblGrid>
      <w:tr>
        <w:trPr>
          <w:tblHeader/>
        </w:trPr>
        <w:tc>
          <w:tcPr>
            <w:tcW w:type="dxa" w:w="3557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Objeção</w:t>
            </w:r>
          </w:p>
        </w:tc>
        <w:tc>
          <w:tcPr>
            <w:tcW w:type="dxa" w:w="5803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Como responder</w:t>
            </w:r>
          </w:p>
        </w:tc>
      </w:tr>
      <w:tr>
        <w:tc>
          <w:tcPr>
            <w:tcW w:type="dxa" w:w="3557"/>
            <w:shd w:fill="F2EF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B2B2B"/>
                <w:sz w:val="20"/>
                <w:szCs w:val="20"/>
              </w:rPr>
              <w:t xml:space="preserve">“Somos B2B, imagem bonita não fecha venda técnica”</w:t>
            </w:r>
          </w:p>
        </w:tc>
        <w:tc>
          <w:tcPr>
            <w:tcW w:type="dxa" w:w="5803"/>
            <w:shd w:fill="F2EF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Material visual profissional reduz fricção na primeira impressão do comprador industrial e dos representantes/distribuidores, e apoia propostas para clientes que nunca visitaram a fábrica — não substitui a ficha técnica, complementa.</w:t>
            </w:r>
          </w:p>
        </w:tc>
      </w:tr>
      <w:tr>
        <w:tc>
          <w:tcPr>
            <w:tcW w:type="dxa" w:w="3557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B2B2B"/>
                <w:sz w:val="20"/>
                <w:szCs w:val="20"/>
              </w:rPr>
              <w:t xml:space="preserve">“Nosso pessoal técnico já tira foto/vídeo com celular”</w:t>
            </w:r>
          </w:p>
        </w:tc>
        <w:tc>
          <w:tcPr>
            <w:tcW w:type="dxa" w:w="580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Comparar lado a lado com o padrão de imagem de concorrentes nacionais/internacionais e destacar o tempo da equipe interna desviado da função original.</w:t>
            </w:r>
          </w:p>
        </w:tc>
      </w:tr>
      <w:tr>
        <w:tc>
          <w:tcPr>
            <w:tcW w:type="dxa" w:w="3557"/>
            <w:shd w:fill="F2EF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B2B2B"/>
                <w:sz w:val="20"/>
                <w:szCs w:val="20"/>
              </w:rPr>
              <w:t xml:space="preserve">“Fábrica é ambiente difícil de fotografar (ruído, segurança, iluminação)”</w:t>
            </w:r>
          </w:p>
        </w:tc>
        <w:tc>
          <w:tcPr>
            <w:tcW w:type="dxa" w:w="5803"/>
            <w:shd w:fill="F2EF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Equipe tem experiência e equipamento para ambiente industrial, com planejamento prévio de segurança junto ao SESMT/produção do cliente.</w:t>
            </w:r>
          </w:p>
        </w:tc>
      </w:tr>
    </w:tbl>
    <w:p>
      <w:pPr>
        <w:spacing w:after="200" w:before="160"/>
      </w:pPr>
      <w:r>
        <w:rPr>
          <w:b/>
          <w:bCs/>
          <w:color w:val="1F3A5F"/>
          <w:sz w:val="21"/>
          <w:szCs w:val="21"/>
        </w:rPr>
        <w:t xml:space="preserve">Follow-up: </w:t>
      </w:r>
      <w:r>
        <w:rPr>
          <w:color w:val="2B2B2B"/>
          <w:sz w:val="21"/>
          <w:szCs w:val="21"/>
        </w:rPr>
        <w:t xml:space="preserve">Ciclo mais longo (30–90 dias) e múltiplos decisores — após o 1º contato, priorizar uma reunião de descoberta (presencial ou vídeo) antes de qualquer proposta, e usar o calendário de feiras do setor como gancho para o 2º follow-up.</w:t>
      </w:r>
    </w:p>
    <w:p>
      <w:pPr>
        <w:pStyle w:val="Heading1"/>
        <w:pBdr>
          <w:bottom w:val="single" w:color="B08D57" w:sz="6" w:space="4"/>
        </w:pBdr>
        <w:spacing w:after="200" w:before="400"/>
      </w:pPr>
      <w:r>
        <w:rPr>
          <w:b/>
          <w:bCs/>
          <w:color w:val="1F3A5F"/>
          <w:sz w:val="30"/>
          <w:szCs w:val="30"/>
        </w:rPr>
        <w:t xml:space="preserve">2. Construtoras e Construção Civil</w:t>
      </w:r>
    </w:p>
    <w:p>
      <w:pPr>
        <w:spacing w:after="140"/>
      </w:pPr>
      <w:r>
        <w:rPr>
          <w:b w:val="false"/>
          <w:bCs w:val="false"/>
          <w:i/>
          <w:iCs/>
          <w:color w:val="2B2B2B"/>
          <w:sz w:val="21"/>
          <w:szCs w:val="21"/>
        </w:rPr>
        <w:t xml:space="preserve">Diferente da vertical “Arquitetura &amp; Construção/Imobiliário” do playbook original (focada em incorporadora/imobiliária vendendo unidades), aqui o cliente é a própria construtora vendendo sua capacidade de execução — para bancos, licitações e novos contratos, não para compradores de imóvel.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shd w:fill="F2EF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B2B2B"/>
                <w:sz w:val="20"/>
                <w:szCs w:val="20"/>
              </w:rPr>
              <w:t xml:space="preserve">Perfil-alvo / comprador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Engenheiro civil responsável, diretor de obras, sócio da construtora, gerente de marketing/comercial da construtora.</w:t>
            </w:r>
          </w:p>
        </w:tc>
      </w:tr>
      <w:tr>
        <w:tc>
          <w:tcPr>
            <w:tcW w:type="dxa" w:w="2400"/>
            <w:shd w:fill="F2EF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B2B2B"/>
                <w:sz w:val="20"/>
                <w:szCs w:val="20"/>
              </w:rPr>
              <w:t xml:space="preserve">Dor / gatilho de compra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Necessidade de comprovar avanço físico da obra para financiamento bancário (laudo fotográfico); portfólio institucional para participar de licitações públicas e concorrências privadas; divulgação de obra entregue para prospectar novos contratos; registro de segurança do trabalho/compliance; fortalecimento da marca da construtora (não do empreendimento).</w:t>
            </w:r>
          </w:p>
        </w:tc>
      </w:tr>
      <w:tr>
        <w:tc>
          <w:tcPr>
            <w:tcW w:type="dxa" w:w="2400"/>
            <w:shd w:fill="F2EF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B2B2B"/>
                <w:sz w:val="20"/>
                <w:szCs w:val="20"/>
              </w:rPr>
              <w:t xml:space="preserve">Prova social a usar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Case Ibagy (imóveis de alto padrão) e histórico com fotografia aérea (drone) para acompanhamento de obra.</w:t>
            </w:r>
          </w:p>
        </w:tc>
      </w:tr>
      <w:tr>
        <w:tc>
          <w:tcPr>
            <w:tcW w:type="dxa" w:w="2400"/>
            <w:shd w:fill="F2EF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B2B2B"/>
                <w:sz w:val="20"/>
                <w:szCs w:val="20"/>
              </w:rPr>
              <w:t xml:space="preserve">O que vender (oferta)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Cobertura fotográfica periódica de canteiro de obras (mensal/bimestral) para laudo de avanço; timelapse e drone de evolução de obra; book institucional da construtora (equipe, obras entregues, estrutura) para licitações e propostas comerciais; cobertura de entrega/inauguração de obra; vídeo institucional com portfólio de obras e depoimentos de clientes.</w:t>
            </w:r>
          </w:p>
        </w:tc>
      </w:tr>
      <w:tr>
        <w:tc>
          <w:tcPr>
            <w:tcW w:type="dxa" w:w="2400"/>
            <w:shd w:fill="F2EF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B2B2B"/>
                <w:sz w:val="20"/>
                <w:szCs w:val="20"/>
              </w:rPr>
              <w:t xml:space="preserve">Canais de prospecção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Editais de licitação pública (construtoras em concorrência); Sinduscon-SC e CREA-SC; notícias de novos contratos/obras iniciadas na região; LinkedIn de diretores de obra e engenharia.</w:t>
            </w:r>
          </w:p>
        </w:tc>
      </w:tr>
    </w:tbl>
    <w:p>
      <w:pPr>
        <w:pStyle w:val="Heading2"/>
        <w:spacing w:after="120" w:before="300"/>
      </w:pPr>
      <w:r>
        <w:rPr>
          <w:b/>
          <w:bCs/>
          <w:color w:val="1F3A5F"/>
          <w:sz w:val="24"/>
          <w:szCs w:val="24"/>
        </w:rPr>
        <w:t xml:space="preserve">Scripts de abordagem</w:t>
      </w:r>
    </w:p>
    <w:p>
      <w:pPr>
        <w:pBdr>
          <w:left w:val="single" w:color="B08D57" w:sz="12" w:space="8"/>
        </w:pBdr>
        <w:spacing w:after="160" w:before="60"/>
        <w:ind w:left="300"/>
      </w:pPr>
      <w:r>
        <w:rPr>
          <w:b/>
          <w:bCs/>
          <w:color w:val="1F3A5F"/>
          <w:sz w:val="21"/>
          <w:szCs w:val="21"/>
        </w:rPr>
        <w:t xml:space="preserve">WhatsApp — primeiro contato: </w:t>
      </w:r>
      <w:r>
        <w:rPr>
          <w:i/>
          <w:iCs/>
          <w:color w:val="2B2B2B"/>
          <w:sz w:val="21"/>
          <w:szCs w:val="21"/>
        </w:rPr>
        <w:t xml:space="preserve">Oi [Nome], tudo bem? [Agente] aqui, do Ormond Studio. Vi que a [Construtora] está com a obra [nome do empreendimento/contrato] em andamento. Fazemos acompanhamento fotográfico periódico de obra — para laudo de avanço e portfólio institucional — além de fotografia aérea com drone. Faz sentido eu te mostrar como funciona?</w:t>
      </w:r>
    </w:p>
    <w:p>
      <w:pPr>
        <w:pBdr>
          <w:left w:val="single" w:color="B08D57" w:sz="12" w:space="8"/>
        </w:pBdr>
        <w:spacing w:after="160" w:before="60"/>
        <w:ind w:left="300"/>
      </w:pPr>
      <w:r>
        <w:rPr>
          <w:b/>
          <w:bCs/>
          <w:color w:val="1F3A5F"/>
          <w:sz w:val="21"/>
          <w:szCs w:val="21"/>
        </w:rPr>
        <w:t xml:space="preserve">E-mail (contato mais formal): </w:t>
      </w:r>
      <w:r>
        <w:rPr>
          <w:i/>
          <w:iCs/>
          <w:color w:val="2B2B2B"/>
          <w:sz w:val="21"/>
          <w:szCs w:val="21"/>
        </w:rPr>
        <w:t xml:space="preserve">Assunto: Registro fotográfico de obra e portfólio institucional para [Construtora]. Olá [Nome], meu nome é [Agente], do Ormond Studio, estúdio de fotografia e vídeo com 15 anos de atuação em SC, incluindo cobertura de imóveis de alto padrão (case Ibagy) e fotografia aérea de obras. Entendo que registro periódico e comprovação de avanço são parte do processo de financiamento e das concorrências que a [Construtora] participa — podemos apoiar com cobertura recorrente e book institucional. Podemos conversar 15 minutos essa semana? Abraço, [Agente] — Ormond Studio.</w:t>
      </w:r>
    </w:p>
    <w:p>
      <w:pPr>
        <w:pStyle w:val="Heading2"/>
        <w:spacing w:after="120" w:before="300"/>
      </w:pPr>
      <w:r>
        <w:rPr>
          <w:b/>
          <w:bCs/>
          <w:color w:val="1F3A5F"/>
          <w:sz w:val="24"/>
          <w:szCs w:val="24"/>
        </w:rPr>
        <w:t xml:space="preserve">Perguntas de descoberta específicas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B2B2B"/>
          <w:sz w:val="21"/>
          <w:szCs w:val="21"/>
        </w:rPr>
        <w:t xml:space="preserve">Vocês já fazem registro fotográfico periódico da obra hoje? Como esse material é usado (financiamento, portfólio, prestação de contas)?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B2B2B"/>
          <w:sz w:val="21"/>
          <w:szCs w:val="21"/>
        </w:rPr>
        <w:t xml:space="preserve">Existe alguma licitação ou concorrência em andamento que precise de material institucional?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B2B2B"/>
          <w:sz w:val="21"/>
          <w:szCs w:val="21"/>
        </w:rPr>
        <w:t xml:space="preserve">Quantas obras simultâneas a construtora tem hoje que poderiam entrar em um contrato recorrente de cobertura?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B2B2B"/>
          <w:sz w:val="21"/>
          <w:szCs w:val="21"/>
        </w:rPr>
        <w:t xml:space="preserve">Quem precisa aprovar o material antes de ele ser usado externamente (engenharia, diretoria, banco)?</w:t>
      </w:r>
    </w:p>
    <w:p>
      <w:pPr>
        <w:pStyle w:val="Heading2"/>
        <w:spacing w:after="120" w:before="300"/>
      </w:pPr>
      <w:r>
        <w:rPr>
          <w:b/>
          <w:bCs/>
          <w:color w:val="1F3A5F"/>
          <w:sz w:val="24"/>
          <w:szCs w:val="24"/>
        </w:rPr>
        <w:t xml:space="preserve">Objeções específicas do segmento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57"/>
        <w:gridCol w:w="5803"/>
      </w:tblGrid>
      <w:tr>
        <w:trPr>
          <w:tblHeader/>
        </w:trPr>
        <w:tc>
          <w:tcPr>
            <w:tcW w:type="dxa" w:w="3557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Objeção</w:t>
            </w:r>
          </w:p>
        </w:tc>
        <w:tc>
          <w:tcPr>
            <w:tcW w:type="dxa" w:w="5803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Como responder</w:t>
            </w:r>
          </w:p>
        </w:tc>
      </w:tr>
      <w:tr>
        <w:tc>
          <w:tcPr>
            <w:tcW w:type="dxa" w:w="3557"/>
            <w:shd w:fill="F2EF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B2B2B"/>
                <w:sz w:val="20"/>
                <w:szCs w:val="20"/>
              </w:rPr>
              <w:t xml:space="preserve">“Já tiramos fotos com celular do mestre de obras”</w:t>
            </w:r>
          </w:p>
        </w:tc>
        <w:tc>
          <w:tcPr>
            <w:tcW w:type="dxa" w:w="5803"/>
            <w:shd w:fill="F2EF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Mostrar a diferença de padrão, consistência e possibilidade de drone para laudos e propostas — o registro amador não sustenta uma concorrência ou aprovação bancária da mesma forma.</w:t>
            </w:r>
          </w:p>
        </w:tc>
      </w:tr>
      <w:tr>
        <w:tc>
          <w:tcPr>
            <w:tcW w:type="dxa" w:w="3557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B2B2B"/>
                <w:sz w:val="20"/>
                <w:szCs w:val="20"/>
              </w:rPr>
              <w:t xml:space="preserve">“Isso é custo, não prioridade”</w:t>
            </w:r>
          </w:p>
        </w:tc>
        <w:tc>
          <w:tcPr>
            <w:tcW w:type="dxa" w:w="580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Posicionar como parte do custo de aprovação de financiamento e de licitação — não como despesa de marketing — e propor contrato recorrente de menor ticket mensal em vez de projeto avulso.</w:t>
            </w:r>
          </w:p>
        </w:tc>
      </w:tr>
    </w:tbl>
    <w:p>
      <w:pPr>
        <w:spacing w:after="200" w:before="160"/>
      </w:pPr>
      <w:r>
        <w:rPr>
          <w:b/>
          <w:bCs/>
          <w:color w:val="1F3A5F"/>
          <w:sz w:val="21"/>
          <w:szCs w:val="21"/>
        </w:rPr>
        <w:t xml:space="preserve">Follow-up: </w:t>
      </w:r>
      <w:r>
        <w:rPr>
          <w:color w:val="2B2B2B"/>
          <w:sz w:val="21"/>
          <w:szCs w:val="21"/>
        </w:rPr>
        <w:t xml:space="preserve">Ciclo médio a longo (30–60 dias), decisão frequentemente compartilhada entre engenharia e diretoria — no 2º follow-up, oferecer uma obra-piloto de cobertura gratuita ou de baixo custo como prova de conceito antes do contrato recorrente.</w:t>
      </w:r>
    </w:p>
    <w:p>
      <w:pPr>
        <w:pStyle w:val="Heading1"/>
        <w:pBdr>
          <w:bottom w:val="single" w:color="B08D57" w:sz="6" w:space="4"/>
        </w:pBdr>
        <w:spacing w:after="200" w:before="400"/>
      </w:pPr>
      <w:r>
        <w:rPr>
          <w:b/>
          <w:bCs/>
          <w:color w:val="1F3A5F"/>
          <w:sz w:val="30"/>
          <w:szCs w:val="30"/>
        </w:rPr>
        <w:t xml:space="preserve">3. Profissionais Liberais de Autoridade — Médicos, Advogados e Arquitetos</w:t>
      </w:r>
    </w:p>
    <w:p>
      <w:pPr>
        <w:spacing w:after="140"/>
      </w:pPr>
      <w:r>
        <w:rPr>
          <w:b w:val="false"/>
          <w:bCs w:val="false"/>
          <w:i/>
          <w:iCs/>
          <w:color w:val="2B2B2B"/>
          <w:sz w:val="21"/>
          <w:szCs w:val="21"/>
        </w:rPr>
        <w:t xml:space="preserve">Venda mais pessoal e consultiva, ticket menor por sessão, mas alto potencial de volume e recorrência (conteúdo de redes sociais). Objetivo do cliente: transmitir autoridade e confiança na primeira impressão digital.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shd w:fill="F2EF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B2B2B"/>
                <w:sz w:val="20"/>
                <w:szCs w:val="20"/>
              </w:rPr>
              <w:t xml:space="preserve">Perfil-alvo / comprador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Médico com consultório/clínica própria, advogado sócio ou autônomo, arquiteto autônomo ou de escritório pequeno — extensível a dentistas, psicólogos e outros profissionais liberais de prestígio.</w:t>
            </w:r>
          </w:p>
        </w:tc>
      </w:tr>
      <w:tr>
        <w:tc>
          <w:tcPr>
            <w:tcW w:type="dxa" w:w="2400"/>
            <w:shd w:fill="F2EF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B2B2B"/>
                <w:sz w:val="20"/>
                <w:szCs w:val="20"/>
              </w:rPr>
              <w:t xml:space="preserve">Dor / gatilho de compra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Perfil de LinkedIn/Google e site desatualizados ou com foto amadora; Instagram profissional com poucas imagens ou banco de imagens genérico; necessidade de transmitir autoridade e confiança para atrair clientes/pacientes organicamente; lançamento de site, palestra, livro ou entrevista na mídia exigindo imagem à altura; reposicionamento de carreira (consultório próprio, nova sociedade).</w:t>
            </w:r>
          </w:p>
        </w:tc>
      </w:tr>
      <w:tr>
        <w:tc>
          <w:tcPr>
            <w:tcW w:type="dxa" w:w="2400"/>
            <w:shd w:fill="F2EF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B2B2B"/>
                <w:sz w:val="20"/>
                <w:szCs w:val="20"/>
              </w:rPr>
              <w:t xml:space="preserve">Prova social a usar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Portfólio de retratos do site e experiência em ambiente clínico documentada no case Unimed.</w:t>
            </w:r>
          </w:p>
        </w:tc>
      </w:tr>
      <w:tr>
        <w:tc>
          <w:tcPr>
            <w:tcW w:type="dxa" w:w="2400"/>
            <w:shd w:fill="F2EF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B2B2B"/>
                <w:sz w:val="20"/>
                <w:szCs w:val="20"/>
              </w:rPr>
              <w:t xml:space="preserve">O que vender (oferta)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Sessão de retrato de personal branding (still + vídeo curto para redes/Reels); fotos de ambiente de trabalho (consultório, escritório, sala de reunião); pacote de conteúdo recorrente para redes sociais (mensal ou trimestral); vídeo institucional curto de apresentação pessoal.</w:t>
            </w:r>
          </w:p>
        </w:tc>
      </w:tr>
      <w:tr>
        <w:tc>
          <w:tcPr>
            <w:tcW w:type="dxa" w:w="2400"/>
            <w:shd w:fill="F2EF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B2B2B"/>
                <w:sz w:val="20"/>
                <w:szCs w:val="20"/>
              </w:rPr>
              <w:t xml:space="preserve">Canais de prospecção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LinkedIn de médicos, advogados e arquitetos com perfil desatualizado; conselhos e associações profissionais (OAB, CRM, CAU) e seus eventos; indicação cruzada entre profissionais liberais; clínicas e escritórios de grupo como multiplicador (um contrato institucional gera várias sessões individuais).</w:t>
            </w:r>
          </w:p>
        </w:tc>
      </w:tr>
    </w:tbl>
    <w:p>
      <w:pPr>
        <w:pStyle w:val="Heading2"/>
        <w:spacing w:after="120" w:before="300"/>
      </w:pPr>
      <w:r>
        <w:rPr>
          <w:b/>
          <w:bCs/>
          <w:color w:val="1F3A5F"/>
          <w:sz w:val="24"/>
          <w:szCs w:val="24"/>
        </w:rPr>
        <w:t xml:space="preserve">Scripts de abordagem</w:t>
      </w:r>
    </w:p>
    <w:p>
      <w:pPr>
        <w:pBdr>
          <w:left w:val="single" w:color="B08D57" w:sz="12" w:space="8"/>
        </w:pBdr>
        <w:spacing w:after="160" w:before="60"/>
        <w:ind w:left="300"/>
      </w:pPr>
      <w:r>
        <w:rPr>
          <w:b/>
          <w:bCs/>
          <w:color w:val="1F3A5F"/>
          <w:sz w:val="21"/>
          <w:szCs w:val="21"/>
        </w:rPr>
        <w:t xml:space="preserve">WhatsApp — primeiro contato: </w:t>
      </w:r>
      <w:r>
        <w:rPr>
          <w:i/>
          <w:iCs/>
          <w:color w:val="2B2B2B"/>
          <w:sz w:val="21"/>
          <w:szCs w:val="21"/>
        </w:rPr>
        <w:t xml:space="preserve">Oi [Nome], tudo bem? Me chamo [Agente], do Ormond Studio, fazemos fotografia de retrato profissional aqui em Floripa. Vi seu perfil no LinkedIn/Instagram e percebi que as fotos atuais não refletem o nível do seu trabalho — isso pesa na primeira impressão de quem pesquisa antes de fechar uma consulta ou contratar um serviço. Fazemos sessões rápidas (cerca de 1h) focadas em transmitir autoridade e confiança. Posso te mandar alguns exemplos?</w:t>
      </w:r>
    </w:p>
    <w:p>
      <w:pPr>
        <w:pBdr>
          <w:left w:val="single" w:color="B08D57" w:sz="12" w:space="8"/>
        </w:pBdr>
        <w:spacing w:after="160" w:before="60"/>
        <w:ind w:left="300"/>
      </w:pPr>
      <w:r>
        <w:rPr>
          <w:b/>
          <w:bCs/>
          <w:color w:val="1F3A5F"/>
          <w:sz w:val="21"/>
          <w:szCs w:val="21"/>
        </w:rPr>
        <w:t xml:space="preserve">E-mail (contato mais formal): </w:t>
      </w:r>
      <w:r>
        <w:rPr>
          <w:i/>
          <w:iCs/>
          <w:color w:val="2B2B2B"/>
          <w:sz w:val="21"/>
          <w:szCs w:val="21"/>
        </w:rPr>
        <w:t xml:space="preserve">Assunto: Fotografia de retrato profissional para [Nome]. Olá [Nome], meu nome é [Agente], do Ormond Studio, estúdio de fotografia com 15 anos de atuação em Florianópolis. Trabalhamos retrato executivo e de marca pessoal para médicos, advogados e arquitetos que querem que a imagem online reflita o nível do próprio trabalho. É uma sessão rápida e objetiva. Posso te enviar alguns exemplos e uma sugestão de horário?</w:t>
      </w:r>
    </w:p>
    <w:p>
      <w:pPr>
        <w:pStyle w:val="Heading2"/>
        <w:spacing w:after="120" w:before="300"/>
      </w:pPr>
      <w:r>
        <w:rPr>
          <w:b/>
          <w:bCs/>
          <w:color w:val="1F3A5F"/>
          <w:sz w:val="24"/>
          <w:szCs w:val="24"/>
        </w:rPr>
        <w:t xml:space="preserve">Perguntas de descoberta específicas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B2B2B"/>
          <w:sz w:val="21"/>
          <w:szCs w:val="21"/>
        </w:rPr>
        <w:t xml:space="preserve">Onde essas fotos serão usadas prioritariamente (LinkedIn, site, Google Meu Negócio, redes sociais, material impresso)?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B2B2B"/>
          <w:sz w:val="21"/>
          <w:szCs w:val="21"/>
        </w:rPr>
        <w:t xml:space="preserve">Você tem alguma referência de estilo que te agrada (mais clássico/corporativo ou mais autoral/editorial)?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B2B2B"/>
          <w:sz w:val="21"/>
          <w:szCs w:val="21"/>
        </w:rPr>
        <w:t xml:space="preserve">Pretende repetir a sessão periodicamente para manter o conteúdo de redes sociais atualizado?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B2B2B"/>
          <w:sz w:val="21"/>
          <w:szCs w:val="21"/>
        </w:rPr>
        <w:t xml:space="preserve">Existe algum marco motivando essa atualização agora (nova clínica, novo cargo, livro, palestra)?</w:t>
      </w:r>
    </w:p>
    <w:p>
      <w:pPr>
        <w:pStyle w:val="Heading2"/>
        <w:spacing w:after="120" w:before="300"/>
      </w:pPr>
      <w:r>
        <w:rPr>
          <w:b/>
          <w:bCs/>
          <w:color w:val="1F3A5F"/>
          <w:sz w:val="24"/>
          <w:szCs w:val="24"/>
        </w:rPr>
        <w:t xml:space="preserve">Objeções específicas do segmento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57"/>
        <w:gridCol w:w="5803"/>
      </w:tblGrid>
      <w:tr>
        <w:trPr>
          <w:tblHeader/>
        </w:trPr>
        <w:tc>
          <w:tcPr>
            <w:tcW w:type="dxa" w:w="3557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Objeção</w:t>
            </w:r>
          </w:p>
        </w:tc>
        <w:tc>
          <w:tcPr>
            <w:tcW w:type="dxa" w:w="5803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Como responder</w:t>
            </w:r>
          </w:p>
        </w:tc>
      </w:tr>
      <w:tr>
        <w:tc>
          <w:tcPr>
            <w:tcW w:type="dxa" w:w="3557"/>
            <w:shd w:fill="F2EF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B2B2B"/>
                <w:sz w:val="20"/>
                <w:szCs w:val="20"/>
              </w:rPr>
              <w:t xml:space="preserve">“Meu trabalho fala por si, não preciso de imagem”</w:t>
            </w:r>
          </w:p>
        </w:tc>
        <w:tc>
          <w:tcPr>
            <w:tcW w:type="dxa" w:w="5803"/>
            <w:shd w:fill="F2EF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A primeira impressão digital acontece antes do primeiro contato humano — quem decide contratar um profissional liberal pesquisa no Google e nas redes sociais antes.</w:t>
            </w:r>
          </w:p>
        </w:tc>
      </w:tr>
      <w:tr>
        <w:tc>
          <w:tcPr>
            <w:tcW w:type="dxa" w:w="3557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B2B2B"/>
                <w:sz w:val="20"/>
                <w:szCs w:val="20"/>
              </w:rPr>
              <w:t xml:space="preserve">“É caro para autônomo”</w:t>
            </w:r>
          </w:p>
        </w:tc>
        <w:tc>
          <w:tcPr>
            <w:tcW w:type="dxa" w:w="580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Oferecer um pacote de entrada menor (sessão avulsa) separado do pacote recorrente, com opção de parcelamento.</w:t>
            </w:r>
          </w:p>
        </w:tc>
      </w:tr>
      <w:tr>
        <w:tc>
          <w:tcPr>
            <w:tcW w:type="dxa" w:w="3557"/>
            <w:shd w:fill="F2EF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B2B2B"/>
                <w:sz w:val="20"/>
                <w:szCs w:val="20"/>
              </w:rPr>
              <w:t xml:space="preserve">“Já tiro foto com celular ou com um amigo fotógrafo”</w:t>
            </w:r>
          </w:p>
        </w:tc>
        <w:tc>
          <w:tcPr>
            <w:tcW w:type="dxa" w:w="5803"/>
            <w:shd w:fill="F2EF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Mostrar comparação lado a lado (iluminação, direção de pose, edição) para evidenciar a diferença de padrão profissional.</w:t>
            </w:r>
          </w:p>
        </w:tc>
      </w:tr>
    </w:tbl>
    <w:p>
      <w:pPr>
        <w:spacing w:after="200" w:before="160"/>
      </w:pPr>
      <w:r>
        <w:rPr>
          <w:b/>
          <w:bCs/>
          <w:color w:val="1F3A5F"/>
          <w:sz w:val="21"/>
          <w:szCs w:val="21"/>
        </w:rPr>
        <w:t xml:space="preserve">Follow-up: </w:t>
      </w:r>
      <w:r>
        <w:rPr>
          <w:color w:val="2B2B2B"/>
          <w:sz w:val="21"/>
          <w:szCs w:val="21"/>
        </w:rPr>
        <w:t xml:space="preserve">Ciclo curto (7–15 dias), decisão individual — no 2º follow-up, reduzir a oferta para a versão de entrada (sessão avulsa) se o pacote recorrente não avançar, mantendo a porta aberta para upsell depois da primeira entrega.</w:t>
      </w:r>
    </w:p>
    <w:p>
      <w:pPr>
        <w:pStyle w:val="Heading1"/>
        <w:pBdr>
          <w:bottom w:val="single" w:color="B08D57" w:sz="6" w:space="4"/>
        </w:pBdr>
        <w:spacing w:after="200" w:before="400"/>
      </w:pPr>
      <w:r>
        <w:rPr>
          <w:b/>
          <w:bCs/>
          <w:color w:val="1F3A5F"/>
          <w:sz w:val="30"/>
          <w:szCs w:val="30"/>
        </w:rPr>
        <w:t xml:space="preserve">4. Profissionais da Saúde — Clínicas, Hospitais e Consultórios</w:t>
      </w:r>
    </w:p>
    <w:p>
      <w:pPr>
        <w:spacing w:after="140"/>
      </w:pPr>
      <w:r>
        <w:rPr>
          <w:b w:val="false"/>
          <w:bCs w:val="false"/>
          <w:i/>
          <w:iCs/>
          <w:color w:val="2B2B2B"/>
          <w:sz w:val="21"/>
          <w:szCs w:val="21"/>
        </w:rPr>
        <w:t xml:space="preserve">Venda institucional, não individual — o comprador é a clínica/hospital, e toda comunicação precisa respeitar as normas de publicidade em saúde (CFM, CFO e correlatos), que restringem promessa de resultado clínico.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shd w:fill="F2EF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B2B2B"/>
                <w:sz w:val="20"/>
                <w:szCs w:val="20"/>
              </w:rPr>
              <w:t xml:space="preserve">Perfil-alvo / comprador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Diretor de clínica/hospital, dono de consultório odontológico, gerente de marketing de rede de saúde ou plano de saúde.</w:t>
            </w:r>
          </w:p>
        </w:tc>
      </w:tr>
      <w:tr>
        <w:tc>
          <w:tcPr>
            <w:tcW w:type="dxa" w:w="2400"/>
            <w:shd w:fill="F2EF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B2B2B"/>
                <w:sz w:val="20"/>
                <w:szCs w:val="20"/>
              </w:rPr>
              <w:t xml:space="preserve">Dor / gatilho de compra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Necessidade de humanizar a comunicação (equipe, estrutura, atendimento) dentro das normas de publicidade médica; expansão de unidades ou nova clínica; ação sazonal de saúde (campanha de verão, outubro rosa, vacinação); site e redes desatualizados frente à concorrência.</w:t>
            </w:r>
          </w:p>
        </w:tc>
      </w:tr>
      <w:tr>
        <w:tc>
          <w:tcPr>
            <w:tcW w:type="dxa" w:w="2400"/>
            <w:shd w:fill="F2EF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B2B2B"/>
                <w:sz w:val="20"/>
                <w:szCs w:val="20"/>
              </w:rPr>
              <w:t xml:space="preserve">Prova social a usar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Case Unimed (cobertura de campanha de verão) — prova direta e forte neste segmento.</w:t>
            </w:r>
          </w:p>
        </w:tc>
      </w:tr>
      <w:tr>
        <w:tc>
          <w:tcPr>
            <w:tcW w:type="dxa" w:w="2400"/>
            <w:shd w:fill="F2EF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B2B2B"/>
                <w:sz w:val="20"/>
                <w:szCs w:val="20"/>
              </w:rPr>
              <w:t xml:space="preserve">O que vender (oferta)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Fotografia institucional de equipe médica e estrutura (recepção, consultórios, equipamentos); retratos do corpo clínico (individual e em grupo); cobertura de campanhas sazonais de saúde; vídeo institucional humanizado, centrado no acolhimento e na estrutura, sem prometer resultado clínico; conteúdo recorrente para redes sociais respeitando o compliance de publicidade médica.</w:t>
            </w:r>
          </w:p>
        </w:tc>
      </w:tr>
      <w:tr>
        <w:tc>
          <w:tcPr>
            <w:tcW w:type="dxa" w:w="2400"/>
            <w:shd w:fill="F2EF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B2B2B"/>
                <w:sz w:val="20"/>
                <w:szCs w:val="20"/>
              </w:rPr>
              <w:t xml:space="preserve">Canais de prospecção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LinkedIn de gestores de clínicas e hospitais; associações de saúde regionais e convênios/planos de saúde parceiros de divulgação; notícias de expansão de rede de saúde na região.</w:t>
            </w:r>
          </w:p>
        </w:tc>
      </w:tr>
    </w:tbl>
    <w:p>
      <w:pPr>
        <w:pStyle w:val="Heading2"/>
        <w:spacing w:after="120" w:before="300"/>
      </w:pPr>
      <w:r>
        <w:rPr>
          <w:b/>
          <w:bCs/>
          <w:color w:val="1F3A5F"/>
          <w:sz w:val="24"/>
          <w:szCs w:val="24"/>
        </w:rPr>
        <w:t xml:space="preserve">Scripts de abordagem</w:t>
      </w:r>
    </w:p>
    <w:p>
      <w:pPr>
        <w:pBdr>
          <w:left w:val="single" w:color="B08D57" w:sz="12" w:space="8"/>
        </w:pBdr>
        <w:spacing w:after="160" w:before="60"/>
        <w:ind w:left="300"/>
      </w:pPr>
      <w:r>
        <w:rPr>
          <w:b/>
          <w:bCs/>
          <w:color w:val="1F3A5F"/>
          <w:sz w:val="21"/>
          <w:szCs w:val="21"/>
        </w:rPr>
        <w:t xml:space="preserve">WhatsApp — primeiro contato: </w:t>
      </w:r>
      <w:r>
        <w:rPr>
          <w:i/>
          <w:iCs/>
          <w:color w:val="2B2B2B"/>
          <w:sz w:val="21"/>
          <w:szCs w:val="21"/>
        </w:rPr>
        <w:t xml:space="preserve">Oi [Nome], tudo bem? [Agente] aqui, do Ormond Studio. Já fizemos cobertura de campanha para a Unimed aqui em Floripa e temos experiência em fotografia para clínicas e hospitais, sempre respeitando as regras de publicidade em saúde. Vi que a [Clínica] pode estar organizando material [institucional/campanha/nova unidade] — faz sentido eu te mostrar alguns exemplos parecidos?</w:t>
      </w:r>
    </w:p>
    <w:p>
      <w:pPr>
        <w:pBdr>
          <w:left w:val="single" w:color="B08D57" w:sz="12" w:space="8"/>
        </w:pBdr>
        <w:spacing w:after="160" w:before="60"/>
        <w:ind w:left="300"/>
      </w:pPr>
      <w:r>
        <w:rPr>
          <w:b/>
          <w:bCs/>
          <w:color w:val="1F3A5F"/>
          <w:sz w:val="21"/>
          <w:szCs w:val="21"/>
        </w:rPr>
        <w:t xml:space="preserve">E-mail (contato mais formal): </w:t>
      </w:r>
      <w:r>
        <w:rPr>
          <w:i/>
          <w:iCs/>
          <w:color w:val="2B2B2B"/>
          <w:sz w:val="21"/>
          <w:szCs w:val="21"/>
        </w:rPr>
        <w:t xml:space="preserve">Assunto: Fotografia institucional para [Clínica/Hospital]. Olá [Nome], meu nome é [Agente], do Ormond Studio, estúdio de fotografia e vídeo com 15 anos de atuação em Florianópolis, incluindo a cobertura de campanha de verão da Unimed. Trabalhamos fotografia institucional e retrato de corpo clínico dentro das normas de publicidade em saúde. Podemos conversar 15 minutos sobre a demanda de imagem da [Clínica/Hospital]? Abraço, [Agente] — Ormond Studio.</w:t>
      </w:r>
    </w:p>
    <w:p>
      <w:pPr>
        <w:pStyle w:val="Heading2"/>
        <w:spacing w:after="120" w:before="300"/>
      </w:pPr>
      <w:r>
        <w:rPr>
          <w:b/>
          <w:bCs/>
          <w:color w:val="1F3A5F"/>
          <w:sz w:val="24"/>
          <w:szCs w:val="24"/>
        </w:rPr>
        <w:t xml:space="preserve">Perguntas de descoberta específicas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B2B2B"/>
          <w:sz w:val="21"/>
          <w:szCs w:val="21"/>
        </w:rPr>
        <w:t xml:space="preserve">O material precisa passar por aprovação de compliance/publicidade médica antes de ser publicado? Quem aprova?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B2B2B"/>
          <w:sz w:val="21"/>
          <w:szCs w:val="21"/>
        </w:rPr>
        <w:t xml:space="preserve">É para uso institucional (site, recepção) ou para uma campanha específica (sazonal, nova unidade, novo serviço)?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B2B2B"/>
          <w:sz w:val="21"/>
          <w:szCs w:val="21"/>
        </w:rPr>
        <w:t xml:space="preserve">Quantos profissionais e ambientes precisam ser fotografados?</w:t>
      </w:r>
    </w:p>
    <w:p>
      <w:pPr>
        <w:pStyle w:val="Heading2"/>
        <w:spacing w:after="120" w:before="300"/>
      </w:pPr>
      <w:r>
        <w:rPr>
          <w:b/>
          <w:bCs/>
          <w:color w:val="1F3A5F"/>
          <w:sz w:val="24"/>
          <w:szCs w:val="24"/>
        </w:rPr>
        <w:t xml:space="preserve">Objeções específicas do segmento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57"/>
        <w:gridCol w:w="5803"/>
      </w:tblGrid>
      <w:tr>
        <w:trPr>
          <w:tblHeader/>
        </w:trPr>
        <w:tc>
          <w:tcPr>
            <w:tcW w:type="dxa" w:w="3557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Objeção</w:t>
            </w:r>
          </w:p>
        </w:tc>
        <w:tc>
          <w:tcPr>
            <w:tcW w:type="dxa" w:w="5803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Como responder</w:t>
            </w:r>
          </w:p>
        </w:tc>
      </w:tr>
      <w:tr>
        <w:tc>
          <w:tcPr>
            <w:tcW w:type="dxa" w:w="3557"/>
            <w:shd w:fill="F2EF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B2B2B"/>
                <w:sz w:val="20"/>
                <w:szCs w:val="20"/>
              </w:rPr>
              <w:t xml:space="preserve">“Publicidade médica tem muita restrição, não sei se posso fazer isso”</w:t>
            </w:r>
          </w:p>
        </w:tc>
        <w:tc>
          <w:tcPr>
            <w:tcW w:type="dxa" w:w="5803"/>
            <w:shd w:fill="F2EF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Fotografia institucional humanizada (equipe, estrutura, acolhimento) é diferente de publicidade de resultado clínico — o estúdio já trabalha dentro dessas regras, como no case Unimed.</w:t>
            </w:r>
          </w:p>
        </w:tc>
      </w:tr>
      <w:tr>
        <w:tc>
          <w:tcPr>
            <w:tcW w:type="dxa" w:w="3557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B2B2B"/>
                <w:sz w:val="20"/>
                <w:szCs w:val="20"/>
              </w:rPr>
              <w:t xml:space="preserve">“Pacientes não deixam fotografar”</w:t>
            </w:r>
          </w:p>
        </w:tc>
        <w:tc>
          <w:tcPr>
            <w:tcW w:type="dxa" w:w="580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Planejar a sessão com a própria equipe, ambientes vazios ou atores, sem depender de paciente real.</w:t>
            </w:r>
          </w:p>
        </w:tc>
      </w:tr>
    </w:tbl>
    <w:p>
      <w:pPr>
        <w:spacing w:after="200" w:before="160"/>
      </w:pPr>
      <w:r>
        <w:rPr>
          <w:b/>
          <w:bCs/>
          <w:color w:val="1F3A5F"/>
          <w:sz w:val="21"/>
          <w:szCs w:val="21"/>
        </w:rPr>
        <w:t xml:space="preserve">Follow-up: </w:t>
      </w:r>
      <w:r>
        <w:rPr>
          <w:color w:val="2B2B2B"/>
          <w:sz w:val="21"/>
          <w:szCs w:val="21"/>
        </w:rPr>
        <w:t xml:space="preserve">Ciclo médio (15–30 dias) — considerar uma etapa extra de aprovação interna de compliance antes de considerar o projeto “fechado”, e usar o calendário de campanhas sazonais de saúde como gancho de recontato.</w:t>
      </w:r>
    </w:p>
    <w:p>
      <w:pPr>
        <w:pStyle w:val="Heading1"/>
        <w:pBdr>
          <w:bottom w:val="single" w:color="B08D57" w:sz="6" w:space="4"/>
        </w:pBdr>
        <w:spacing w:after="200" w:before="400"/>
      </w:pPr>
      <w:r>
        <w:rPr>
          <w:b/>
          <w:bCs/>
          <w:color w:val="1F3A5F"/>
          <w:sz w:val="30"/>
          <w:szCs w:val="30"/>
        </w:rPr>
        <w:t xml:space="preserve">5. Restaurantes e Food Service</w:t>
      </w:r>
    </w:p>
    <w:p>
      <w:pPr>
        <w:spacing w:after="140"/>
      </w:pPr>
      <w:r>
        <w:rPr>
          <w:b w:val="false"/>
          <w:bCs w:val="false"/>
          <w:i/>
          <w:iCs/>
          <w:color w:val="2B2B2B"/>
          <w:sz w:val="21"/>
          <w:szCs w:val="21"/>
        </w:rPr>
        <w:t xml:space="preserve">Aprofunda a vertical “Alimentos &amp; Food Service” do playbook original, com foco no operador (restaurante/rede), distinto da indústria de alimentos B2B (Seção 6).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shd w:fill="F2EF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B2B2B"/>
                <w:sz w:val="20"/>
                <w:szCs w:val="20"/>
              </w:rPr>
              <w:t xml:space="preserve">Perfil-alvo / comprador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Dono/gerente de restaurante, chef proprietário, gerente de marketing de rede de restaurantes ou franquia.</w:t>
            </w:r>
          </w:p>
        </w:tc>
      </w:tr>
      <w:tr>
        <w:tc>
          <w:tcPr>
            <w:tcW w:type="dxa" w:w="2400"/>
            <w:shd w:fill="F2EF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B2B2B"/>
                <w:sz w:val="20"/>
                <w:szCs w:val="20"/>
              </w:rPr>
              <w:t xml:space="preserve">Dor / gatilho de compra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Abertura de novo restaurante ou reforma/reposicionamento; novo cardápio ou menu sazonal; fraca conversão em aplicativos de delivery por causa de fotos amadoras; redes sociais com fotos de prato de baixa qualidade.</w:t>
            </w:r>
          </w:p>
        </w:tc>
      </w:tr>
      <w:tr>
        <w:tc>
          <w:tcPr>
            <w:tcW w:type="dxa" w:w="2400"/>
            <w:shd w:fill="F2EF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B2B2B"/>
                <w:sz w:val="20"/>
                <w:szCs w:val="20"/>
              </w:rPr>
              <w:t xml:space="preserve">Prova social a usar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Portfólio de alimentos do site e o blog “Fotografia de Alimentos”, com material de antes/depois.</w:t>
            </w:r>
          </w:p>
        </w:tc>
      </w:tr>
      <w:tr>
        <w:tc>
          <w:tcPr>
            <w:tcW w:type="dxa" w:w="2400"/>
            <w:shd w:fill="F2EF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B2B2B"/>
                <w:sz w:val="20"/>
                <w:szCs w:val="20"/>
              </w:rPr>
              <w:t xml:space="preserve">O que vender (oferta)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Still de prato para cardápio, delivery e redes sociais; vídeo curto de prato sendo servido para Reels/TikTok; cobertura de evento de abertura ou lançamento de cardápio; pacote recorrente mensal para manter o feed de redes sociais sempre atualizado.</w:t>
            </w:r>
          </w:p>
        </w:tc>
      </w:tr>
      <w:tr>
        <w:tc>
          <w:tcPr>
            <w:tcW w:type="dxa" w:w="2400"/>
            <w:shd w:fill="F2EF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B2B2B"/>
                <w:sz w:val="20"/>
                <w:szCs w:val="20"/>
              </w:rPr>
              <w:t xml:space="preserve">Canais de prospecção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Diagnóstico visual de perfis no Instagram; fotos desatualizadas no Google Meu Negócio; fotos de baixa qualidade em aplicativos de delivery (iFood); feiras gastronômicas locais.</w:t>
            </w:r>
          </w:p>
        </w:tc>
      </w:tr>
    </w:tbl>
    <w:p>
      <w:pPr>
        <w:pStyle w:val="Heading2"/>
        <w:spacing w:after="120" w:before="300"/>
      </w:pPr>
      <w:r>
        <w:rPr>
          <w:b/>
          <w:bCs/>
          <w:color w:val="1F3A5F"/>
          <w:sz w:val="24"/>
          <w:szCs w:val="24"/>
        </w:rPr>
        <w:t xml:space="preserve">Scripts de abordagem</w:t>
      </w:r>
    </w:p>
    <w:p>
      <w:pPr>
        <w:pBdr>
          <w:left w:val="single" w:color="B08D57" w:sz="12" w:space="8"/>
        </w:pBdr>
        <w:spacing w:after="160" w:before="60"/>
        <w:ind w:left="300"/>
      </w:pPr>
      <w:r>
        <w:rPr>
          <w:b/>
          <w:bCs/>
          <w:color w:val="1F3A5F"/>
          <w:sz w:val="21"/>
          <w:szCs w:val="21"/>
        </w:rPr>
        <w:t xml:space="preserve">WhatsApp — primeiro contato: </w:t>
      </w:r>
      <w:r>
        <w:rPr>
          <w:i/>
          <w:iCs/>
          <w:color w:val="2B2B2B"/>
          <w:sz w:val="21"/>
          <w:szCs w:val="21"/>
        </w:rPr>
        <w:t xml:space="preserve">Oi [Nome]! Sou [Agente], do Ormond Studio. Vi o [cardápio/perfil/delivery] do [Restaurante] e percebi uma oportunidade de deixar os pratos ainda mais apetitosos nas fotos — isso costuma impactar direto na conversão de delivery e redes sociais. Temos um material de antes/depois de fotografia de alimentos, posso te enviar?</w:t>
      </w:r>
    </w:p>
    <w:p>
      <w:pPr>
        <w:pBdr>
          <w:left w:val="single" w:color="B08D57" w:sz="12" w:space="8"/>
        </w:pBdr>
        <w:spacing w:after="160" w:before="60"/>
        <w:ind w:left="300"/>
      </w:pPr>
      <w:r>
        <w:rPr>
          <w:b/>
          <w:bCs/>
          <w:color w:val="1F3A5F"/>
          <w:sz w:val="21"/>
          <w:szCs w:val="21"/>
        </w:rPr>
        <w:t xml:space="preserve">E-mail (contato mais formal): </w:t>
      </w:r>
      <w:r>
        <w:rPr>
          <w:i/>
          <w:iCs/>
          <w:color w:val="2B2B2B"/>
          <w:sz w:val="21"/>
          <w:szCs w:val="21"/>
        </w:rPr>
        <w:t xml:space="preserve">Assunto: Fotografia de alimentos para o [Restaurante]. Olá [Nome], meu nome é [Agente], do Ormond Studio, estúdio de fotografia com 15 anos de atuação em Florianópolis. Trabalhamos still de prato para cardápio, delivery e redes sociais, com material de antes/depois que mostra o impacto direto na conversão. Podemos agendar uma sessão para o [cardápio atual/novo lançamento]? Abraço, [Agente] — Ormond Studio.</w:t>
      </w:r>
    </w:p>
    <w:p>
      <w:pPr>
        <w:pStyle w:val="Heading2"/>
        <w:spacing w:after="120" w:before="300"/>
      </w:pPr>
      <w:r>
        <w:rPr>
          <w:b/>
          <w:bCs/>
          <w:color w:val="1F3A5F"/>
          <w:sz w:val="24"/>
          <w:szCs w:val="24"/>
        </w:rPr>
        <w:t xml:space="preserve">Perguntas de descoberta específicas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B2B2B"/>
          <w:sz w:val="21"/>
          <w:szCs w:val="21"/>
        </w:rPr>
        <w:t xml:space="preserve">Qual é o prato carro-chefe ou de maior margem a priorizar na sessão?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B2B2B"/>
          <w:sz w:val="21"/>
          <w:szCs w:val="21"/>
        </w:rPr>
        <w:t xml:space="preserve">O uso principal será delivery, cardápio impresso ou redes sociais?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B2B2B"/>
          <w:sz w:val="21"/>
          <w:szCs w:val="21"/>
        </w:rPr>
        <w:t xml:space="preserve">Pretende repetir a sessão a cada troca de cardápio sazonal?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B2B2B"/>
          <w:sz w:val="21"/>
          <w:szCs w:val="21"/>
        </w:rPr>
        <w:t xml:space="preserve">Existe alguém internamente responsável por social media que vai usar o material no dia a dia?</w:t>
      </w:r>
    </w:p>
    <w:p>
      <w:pPr>
        <w:pStyle w:val="Heading2"/>
        <w:spacing w:after="120" w:before="300"/>
      </w:pPr>
      <w:r>
        <w:rPr>
          <w:b/>
          <w:bCs/>
          <w:color w:val="1F3A5F"/>
          <w:sz w:val="24"/>
          <w:szCs w:val="24"/>
        </w:rPr>
        <w:t xml:space="preserve">Objeções específicas do segmento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57"/>
        <w:gridCol w:w="5803"/>
      </w:tblGrid>
      <w:tr>
        <w:trPr>
          <w:tblHeader/>
        </w:trPr>
        <w:tc>
          <w:tcPr>
            <w:tcW w:type="dxa" w:w="3557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Objeção</w:t>
            </w:r>
          </w:p>
        </w:tc>
        <w:tc>
          <w:tcPr>
            <w:tcW w:type="dxa" w:w="5803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Como responder</w:t>
            </w:r>
          </w:p>
        </w:tc>
      </w:tr>
      <w:tr>
        <w:tc>
          <w:tcPr>
            <w:tcW w:type="dxa" w:w="3557"/>
            <w:shd w:fill="F2EF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B2B2B"/>
                <w:sz w:val="20"/>
                <w:szCs w:val="20"/>
              </w:rPr>
              <w:t xml:space="preserve">“O prato esfria/estraga durante a produção”</w:t>
            </w:r>
          </w:p>
        </w:tc>
        <w:tc>
          <w:tcPr>
            <w:tcW w:type="dxa" w:w="5803"/>
            <w:shd w:fill="F2EF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Explicar a agilidade da produção com food stylist e o planejamento para fotografar o prato no ponto certo.</w:t>
            </w:r>
          </w:p>
        </w:tc>
      </w:tr>
      <w:tr>
        <w:tc>
          <w:tcPr>
            <w:tcW w:type="dxa" w:w="3557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B2B2B"/>
                <w:sz w:val="20"/>
                <w:szCs w:val="20"/>
              </w:rPr>
              <w:t xml:space="preserve">“Já uso foto de celular e funciona”</w:t>
            </w:r>
          </w:p>
        </w:tc>
        <w:tc>
          <w:tcPr>
            <w:tcW w:type="dxa" w:w="580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Apresentar o comparativo antes/depois e, se possível, dado de conversão de delivery associado a fotos profissionais.</w:t>
            </w:r>
          </w:p>
        </w:tc>
      </w:tr>
    </w:tbl>
    <w:p>
      <w:pPr>
        <w:spacing w:after="200" w:before="160"/>
      </w:pPr>
      <w:r>
        <w:rPr>
          <w:b/>
          <w:bCs/>
          <w:color w:val="1F3A5F"/>
          <w:sz w:val="21"/>
          <w:szCs w:val="21"/>
        </w:rPr>
        <w:t xml:space="preserve">Follow-up: </w:t>
      </w:r>
      <w:r>
        <w:rPr>
          <w:color w:val="2B2B2B"/>
          <w:sz w:val="21"/>
          <w:szCs w:val="21"/>
        </w:rPr>
        <w:t xml:space="preserve">Ciclo curto (5–10 dias) — no 2º follow-up, oferecer a sessão vinculada a um gatilho concreto (novo cardápio sazonal, data comemorativa) para facilitar o “sim”.</w:t>
      </w:r>
    </w:p>
    <w:p>
      <w:pPr>
        <w:pStyle w:val="Heading1"/>
        <w:pBdr>
          <w:bottom w:val="single" w:color="B08D57" w:sz="6" w:space="4"/>
        </w:pBdr>
        <w:spacing w:after="200" w:before="400"/>
      </w:pPr>
      <w:r>
        <w:rPr>
          <w:b/>
          <w:bCs/>
          <w:color w:val="1F3A5F"/>
          <w:sz w:val="30"/>
          <w:szCs w:val="30"/>
        </w:rPr>
        <w:t xml:space="preserve">6. Indústria de Alimentos (B2B — Fabricantes e Distribuidores)</w:t>
      </w:r>
    </w:p>
    <w:p>
      <w:pPr>
        <w:spacing w:after="140"/>
      </w:pPr>
      <w:r>
        <w:rPr>
          <w:b w:val="false"/>
          <w:bCs w:val="false"/>
          <w:i/>
          <w:iCs/>
          <w:color w:val="2B2B2B"/>
          <w:sz w:val="21"/>
          <w:szCs w:val="21"/>
        </w:rPr>
        <w:t xml:space="preserve">Distinto de restaurantes: aqui o cliente é o fabricante, marca própria ou distribuidor de alimentos que vende para o varejo, food service ou e-commerce — não o operador do balcão.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shd w:fill="F2EF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B2B2B"/>
                <w:sz w:val="20"/>
                <w:szCs w:val="20"/>
              </w:rPr>
              <w:t xml:space="preserve">Perfil-alvo / comprador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Gerente de marketing/produto de indústria alimentícia, diretor comercial de distribuidora, gerente de e-commerce de marca de alimentos embalados.</w:t>
            </w:r>
          </w:p>
        </w:tc>
      </w:tr>
      <w:tr>
        <w:tc>
          <w:tcPr>
            <w:tcW w:type="dxa" w:w="2400"/>
            <w:shd w:fill="F2EF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B2B2B"/>
                <w:sz w:val="20"/>
                <w:szCs w:val="20"/>
              </w:rPr>
              <w:t xml:space="preserve">Dor / gatilho de compra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Lançamento de novo produto ou embalagem; exigência de fotos padronizadas por grandes redes de varejo para ficha técnica; necessidade de catálogo atualizado para representantes comerciais; conteúdo para e-commerce e marketplaces de alimentos.</w:t>
            </w:r>
          </w:p>
        </w:tc>
      </w:tr>
      <w:tr>
        <w:tc>
          <w:tcPr>
            <w:tcW w:type="dxa" w:w="2400"/>
            <w:shd w:fill="F2EF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B2B2B"/>
                <w:sz w:val="20"/>
                <w:szCs w:val="20"/>
              </w:rPr>
              <w:t xml:space="preserve">Prova social a usar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Case Thera — sistema completo de fotografia de produto, prova direta de recorrência e padronização para indústria/e-commerce alimentício.</w:t>
            </w:r>
          </w:p>
        </w:tc>
      </w:tr>
      <w:tr>
        <w:tc>
          <w:tcPr>
            <w:tcW w:type="dxa" w:w="2400"/>
            <w:shd w:fill="F2EF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B2B2B"/>
                <w:sz w:val="20"/>
                <w:szCs w:val="20"/>
              </w:rPr>
              <w:t xml:space="preserve">O que vender (oferta)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Still de produto para catálogo, e-commerce e mídia kit; still de embalagem; banco de imagens recorrente a cada novo lote de SKU; still para ficha técnica exigida por redes de varejo; vídeo institucional de fábrica e processo produtivo com foco em qualidade e segurança alimentar.</w:t>
            </w:r>
          </w:p>
        </w:tc>
      </w:tr>
      <w:tr>
        <w:tc>
          <w:tcPr>
            <w:tcW w:type="dxa" w:w="2400"/>
            <w:shd w:fill="F2EF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B2B2B"/>
                <w:sz w:val="20"/>
                <w:szCs w:val="20"/>
              </w:rPr>
              <w:t xml:space="preserve">Canais de prospecção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LinkedIn de gerentes de marketing/produto de indústria alimentícia; feiras do setor (APAS, Fispal); sindicatos e associações da indústria de alimentação.</w:t>
            </w:r>
          </w:p>
        </w:tc>
      </w:tr>
    </w:tbl>
    <w:p>
      <w:pPr>
        <w:pStyle w:val="Heading2"/>
        <w:spacing w:after="120" w:before="300"/>
      </w:pPr>
      <w:r>
        <w:rPr>
          <w:b/>
          <w:bCs/>
          <w:color w:val="1F3A5F"/>
          <w:sz w:val="24"/>
          <w:szCs w:val="24"/>
        </w:rPr>
        <w:t xml:space="preserve">Scripts de abordagem</w:t>
      </w:r>
    </w:p>
    <w:p>
      <w:pPr>
        <w:pBdr>
          <w:left w:val="single" w:color="B08D57" w:sz="12" w:space="8"/>
        </w:pBdr>
        <w:spacing w:after="160" w:before="60"/>
        <w:ind w:left="300"/>
      </w:pPr>
      <w:r>
        <w:rPr>
          <w:b/>
          <w:bCs/>
          <w:color w:val="1F3A5F"/>
          <w:sz w:val="21"/>
          <w:szCs w:val="21"/>
        </w:rPr>
        <w:t xml:space="preserve">WhatsApp — primeiro contato: </w:t>
      </w:r>
      <w:r>
        <w:rPr>
          <w:i/>
          <w:iCs/>
          <w:color w:val="2B2B2B"/>
          <w:sz w:val="21"/>
          <w:szCs w:val="21"/>
        </w:rPr>
        <w:t xml:space="preserve">Oi [Nome], tudo bem? Aqui é [Agente], do Ormond Studio. Vi que a [Empresa] pode estar organizando material de imagem para [novo produto/lançamento/catálogo]. Fizemos um sistema completo de fotografia de produto para a Thera e temos experiência em still padronizado para redes de varejo e e-commerce — faz sentido eu te mandar alguns exemplos?</w:t>
      </w:r>
    </w:p>
    <w:p>
      <w:pPr>
        <w:pBdr>
          <w:left w:val="single" w:color="B08D57" w:sz="12" w:space="8"/>
        </w:pBdr>
        <w:spacing w:after="160" w:before="60"/>
        <w:ind w:left="300"/>
      </w:pPr>
      <w:r>
        <w:rPr>
          <w:b/>
          <w:bCs/>
          <w:color w:val="1F3A5F"/>
          <w:sz w:val="21"/>
          <w:szCs w:val="21"/>
        </w:rPr>
        <w:t xml:space="preserve">E-mail (contato mais formal): </w:t>
      </w:r>
      <w:r>
        <w:rPr>
          <w:i/>
          <w:iCs/>
          <w:color w:val="2B2B2B"/>
          <w:sz w:val="21"/>
          <w:szCs w:val="21"/>
        </w:rPr>
        <w:t xml:space="preserve">Assunto: Banco de imagens de produto para [Empresa]. Olá [Nome], meu nome é [Agente], do Ormond Studio, estúdio de fotografia com 15 anos de atuação em Florianópolis, autor do sistema de fotografia de produto da Thera. Podemos apoiar a [Empresa] com still padronizado para catálogo, e-commerce, ficha técnica de varejo e material para representantes. Podemos conversar 15 minutos sobre a demanda de imagem de vocês? Abraço, [Agente] — Ormond Studio.</w:t>
      </w:r>
    </w:p>
    <w:p>
      <w:pPr>
        <w:pStyle w:val="Heading2"/>
        <w:spacing w:after="120" w:before="300"/>
      </w:pPr>
      <w:r>
        <w:rPr>
          <w:b/>
          <w:bCs/>
          <w:color w:val="1F3A5F"/>
          <w:sz w:val="24"/>
          <w:szCs w:val="24"/>
        </w:rPr>
        <w:t xml:space="preserve">Perguntas de descoberta específicas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B2B2B"/>
          <w:sz w:val="21"/>
          <w:szCs w:val="21"/>
        </w:rPr>
        <w:t xml:space="preserve">Quantos SKUs precisam de still atualizado agora?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B2B2B"/>
          <w:sz w:val="21"/>
          <w:szCs w:val="21"/>
        </w:rPr>
        <w:t xml:space="preserve">Alguma rede de varejo exige um padrão de imagem específico para ficha técnica?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B2B2B"/>
          <w:sz w:val="21"/>
          <w:szCs w:val="21"/>
        </w:rPr>
        <w:t xml:space="preserve">Qual a frequência de lançamento de novos produtos ou embalagens?</w:t>
      </w:r>
    </w:p>
    <w:p>
      <w:pPr>
        <w:pStyle w:val="Heading2"/>
        <w:spacing w:after="120" w:before="300"/>
      </w:pPr>
      <w:r>
        <w:rPr>
          <w:b/>
          <w:bCs/>
          <w:color w:val="1F3A5F"/>
          <w:sz w:val="24"/>
          <w:szCs w:val="24"/>
        </w:rPr>
        <w:t xml:space="preserve">Objeções específicas do segmento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57"/>
        <w:gridCol w:w="5803"/>
      </w:tblGrid>
      <w:tr>
        <w:trPr>
          <w:tblHeader/>
        </w:trPr>
        <w:tc>
          <w:tcPr>
            <w:tcW w:type="dxa" w:w="3557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Objeção</w:t>
            </w:r>
          </w:p>
        </w:tc>
        <w:tc>
          <w:tcPr>
            <w:tcW w:type="dxa" w:w="5803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Como responder</w:t>
            </w:r>
          </w:p>
        </w:tc>
      </w:tr>
      <w:tr>
        <w:tc>
          <w:tcPr>
            <w:tcW w:type="dxa" w:w="3557"/>
            <w:shd w:fill="F2EF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B2B2B"/>
                <w:sz w:val="20"/>
                <w:szCs w:val="20"/>
              </w:rPr>
              <w:t xml:space="preserve">“Temos banco de imagens do fabricante/fornecedor genérico”</w:t>
            </w:r>
          </w:p>
        </w:tc>
        <w:tc>
          <w:tcPr>
            <w:tcW w:type="dxa" w:w="5803"/>
            <w:shd w:fill="F2EF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Reforçar a diferenciação de marca própria e o controle de padrão visual consistente em todos os canais.</w:t>
            </w:r>
          </w:p>
        </w:tc>
      </w:tr>
      <w:tr>
        <w:tc>
          <w:tcPr>
            <w:tcW w:type="dxa" w:w="3557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B2B2B"/>
                <w:sz w:val="20"/>
                <w:szCs w:val="20"/>
              </w:rPr>
              <w:t xml:space="preserve">“É caro fotografar cada SKU”</w:t>
            </w:r>
          </w:p>
        </w:tc>
        <w:tc>
          <w:tcPr>
            <w:tcW w:type="dxa" w:w="580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Propor pacote por lote de sessão, cobrindo vários SKUs de uma vez para diluir o custo por imagem.</w:t>
            </w:r>
          </w:p>
        </w:tc>
      </w:tr>
    </w:tbl>
    <w:p>
      <w:pPr>
        <w:spacing w:after="200" w:before="160"/>
      </w:pPr>
      <w:r>
        <w:rPr>
          <w:b/>
          <w:bCs/>
          <w:color w:val="1F3A5F"/>
          <w:sz w:val="21"/>
          <w:szCs w:val="21"/>
        </w:rPr>
        <w:t xml:space="preserve">Follow-up: </w:t>
      </w:r>
      <w:r>
        <w:rPr>
          <w:color w:val="2B2B2B"/>
          <w:sz w:val="21"/>
          <w:szCs w:val="21"/>
        </w:rPr>
        <w:t xml:space="preserve">Ciclo médio (15–30 dias) — usar o calendário de lançamento de novos produtos/embalagens da empresa como gatilho natural para o 2º e 3º follow-up.</w:t>
      </w:r>
    </w:p>
    <w:p>
      <w:pPr>
        <w:pStyle w:val="Heading1"/>
        <w:pBdr>
          <w:bottom w:val="single" w:color="B08D57" w:sz="6" w:space="4"/>
        </w:pBdr>
        <w:spacing w:after="200" w:before="400"/>
      </w:pPr>
      <w:r>
        <w:rPr>
          <w:b/>
          <w:bCs/>
          <w:color w:val="1F3A5F"/>
          <w:sz w:val="30"/>
          <w:szCs w:val="30"/>
        </w:rPr>
        <w:t xml:space="preserve">7. Ajustes ao Funil, Follow-up e KPIs para os Novos Segmentos</w:t>
      </w:r>
    </w:p>
    <w:p>
      <w:pPr>
        <w:spacing w:after="140"/>
      </w:pPr>
      <w:r>
        <w:rPr>
          <w:b w:val="false"/>
          <w:bCs w:val="false"/>
          <w:i w:val="false"/>
          <w:iCs w:val="false"/>
          <w:color w:val="2B2B2B"/>
          <w:sz w:val="21"/>
          <w:szCs w:val="21"/>
        </w:rPr>
        <w:t xml:space="preserve">O funil de 5 etapas (Seção 5 do playbook v3) e as regras de follow-up (Seção 5.1) valem para todos os segmentos acima. Os ajustes por perfil de ciclo de venda: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shd w:fill="F2EF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B2B2B"/>
                <w:sz w:val="20"/>
                <w:szCs w:val="20"/>
              </w:rPr>
              <w:t xml:space="preserve">Indústria de maquinário / Construtoras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Ciclo mais longo (30–90 dias), múltiplos decisores. Priorizar reunião de descoberta (presencial ou vídeo) ou visita técnica antes de qualquer proposta.</w:t>
            </w:r>
          </w:p>
        </w:tc>
      </w:tr>
      <w:tr>
        <w:tc>
          <w:tcPr>
            <w:tcW w:type="dxa" w:w="2400"/>
            <w:shd w:fill="F2EF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B2B2B"/>
                <w:sz w:val="20"/>
                <w:szCs w:val="20"/>
              </w:rPr>
              <w:t xml:space="preserve">Profissionais liberais de autoridade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Ciclo curto (7–15 dias), decisão individual, ticket menor e maior volume. Priorizar pacote de entrada para reduzir fricção e depois oferecer upsell de recorrência.</w:t>
            </w:r>
          </w:p>
        </w:tc>
      </w:tr>
      <w:tr>
        <w:tc>
          <w:tcPr>
            <w:tcW w:type="dxa" w:w="2400"/>
            <w:shd w:fill="F2EF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B2B2B"/>
                <w:sz w:val="20"/>
                <w:szCs w:val="20"/>
              </w:rPr>
              <w:t xml:space="preserve">Saúde institucional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Ciclo médio (15–30 dias). Adicionar etapa de aprovação de compliance/publicidade médica antes de considerar o projeto fechado.</w:t>
            </w:r>
          </w:p>
        </w:tc>
      </w:tr>
      <w:tr>
        <w:tc>
          <w:tcPr>
            <w:tcW w:type="dxa" w:w="2400"/>
            <w:shd w:fill="F2EF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B2B2B"/>
                <w:sz w:val="20"/>
                <w:szCs w:val="20"/>
              </w:rPr>
              <w:t xml:space="preserve">Restaurantes / Indústria de alimentos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Ciclo curto a médio (5–30 dias). Usar calendário de cardápio sazonal ou lançamento de produto como gatilho natural de follow-up.</w:t>
            </w:r>
          </w:p>
        </w:tc>
      </w:tr>
    </w:tbl>
    <w:p>
      <w:pPr>
        <w:pStyle w:val="Heading2"/>
        <w:spacing w:after="120" w:before="300"/>
      </w:pPr>
      <w:r>
        <w:rPr>
          <w:b/>
          <w:bCs/>
          <w:color w:val="1F3A5F"/>
          <w:sz w:val="24"/>
          <w:szCs w:val="24"/>
        </w:rPr>
        <w:t xml:space="preserve">Metas mensais sugeridas (fase inicial de expansão)</w:t>
      </w:r>
    </w:p>
    <w:p>
      <w:pPr>
        <w:spacing w:after="140"/>
      </w:pPr>
      <w:r>
        <w:rPr>
          <w:b w:val="false"/>
          <w:bCs w:val="false"/>
          <w:i w:val="false"/>
          <w:iCs w:val="false"/>
          <w:color w:val="2B2B2B"/>
          <w:sz w:val="21"/>
          <w:szCs w:val="21"/>
        </w:rPr>
        <w:t xml:space="preserve">5 novos contatos qualificados por mês, por segmento novo, nos primeiros três meses — ajustar a meta para cima conforme a taxa de resposta de cada segmento for validada (usar os indicadores gerais da Seção 10 do playbook v3: taxa de resposta ≥ 20%, conversão proposta → fechamento ≥ 25%).</w:t>
      </w:r>
    </w:p>
    <w:p>
      <w:pPr>
        <w:pStyle w:val="Heading1"/>
        <w:pBdr>
          <w:bottom w:val="single" w:color="B08D57" w:sz="6" w:space="4"/>
        </w:pBdr>
        <w:spacing w:after="200" w:before="400"/>
      </w:pPr>
      <w:r>
        <w:rPr>
          <w:b/>
          <w:bCs/>
          <w:color w:val="1F3A5F"/>
          <w:sz w:val="30"/>
          <w:szCs w:val="30"/>
        </w:rPr>
        <w:t xml:space="preserve">8. Checklist de Execução — Novos Segmentos</w:t>
      </w:r>
    </w:p>
    <w:p>
      <w:pPr>
        <w:pStyle w:val="Heading2"/>
        <w:spacing w:after="120" w:before="300"/>
      </w:pPr>
      <w:r>
        <w:rPr>
          <w:b/>
          <w:bCs/>
          <w:color w:val="1F3A5F"/>
          <w:sz w:val="24"/>
          <w:szCs w:val="24"/>
        </w:rPr>
        <w:t xml:space="preserve">Semanal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B2B2B"/>
          <w:sz w:val="21"/>
          <w:szCs w:val="21"/>
        </w:rPr>
        <w:t xml:space="preserve">Revisar editais de licitação e calendário de feiras setoriais (indústria/construção).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B2B2B"/>
          <w:sz w:val="21"/>
          <w:szCs w:val="21"/>
        </w:rPr>
        <w:t xml:space="preserve">Identificar 3 profissionais liberais com perfil digital desatualizado (LinkedIn/Instagram/Google).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B2B2B"/>
          <w:sz w:val="21"/>
          <w:szCs w:val="21"/>
        </w:rPr>
        <w:t xml:space="preserve">Checar redes sociais de restaurantes e clínicas da região em busca de gatilhos (novo cardápio, nova unidade, campanha sazonal).</w:t>
      </w:r>
    </w:p>
    <w:p>
      <w:pPr>
        <w:pStyle w:val="Heading2"/>
        <w:spacing w:after="120" w:before="300"/>
      </w:pPr>
      <w:r>
        <w:rPr>
          <w:b/>
          <w:bCs/>
          <w:color w:val="1F3A5F"/>
          <w:sz w:val="24"/>
          <w:szCs w:val="24"/>
        </w:rPr>
        <w:t xml:space="preserve">Mensal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B2B2B"/>
          <w:sz w:val="21"/>
          <w:szCs w:val="21"/>
        </w:rPr>
        <w:t xml:space="preserve">Contatar sindicatos e associações (Fiesc, Sinduscon-SC, OAB, CRM, CAU) para mapear eventos e oportunidades.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B2B2B"/>
          <w:sz w:val="21"/>
          <w:szCs w:val="21"/>
        </w:rPr>
        <w:t xml:space="preserve">Revisar leads em nutrição de cada novo segmento e mover os que atingiram novo gatilho.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B2B2B"/>
          <w:sz w:val="21"/>
          <w:szCs w:val="21"/>
        </w:rPr>
        <w:t xml:space="preserve">Atualizar este documento com um novo case, sempre que um projeto relevante for fechado em qualquer um dos seis segmentos.</w:t>
      </w:r>
    </w:p>
    <w:p>
      <w:pPr>
        <w:pStyle w:val="Heading1"/>
        <w:pBdr>
          <w:bottom w:val="single" w:color="B08D57" w:sz="6" w:space="4"/>
        </w:pBdr>
        <w:spacing w:after="200" w:before="400"/>
      </w:pPr>
      <w:r>
        <w:rPr>
          <w:b/>
          <w:bCs/>
          <w:color w:val="1F3A5F"/>
          <w:sz w:val="30"/>
          <w:szCs w:val="30"/>
        </w:rPr>
        <w:t xml:space="preserve">9. Contato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B2B2B"/>
          <w:sz w:val="21"/>
          <w:szCs w:val="21"/>
        </w:rPr>
        <w:t xml:space="preserve">E-mail: ormond@ormondimagens.com.br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B2B2B"/>
          <w:sz w:val="21"/>
          <w:szCs w:val="21"/>
        </w:rPr>
        <w:t xml:space="preserve">WhatsApp: (48) 99122-1028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B2B2B"/>
          <w:sz w:val="21"/>
          <w:szCs w:val="21"/>
        </w:rPr>
        <w:t xml:space="preserve">Site / portfólio: ormondimagens.com.br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B2B2B"/>
          <w:sz w:val="21"/>
          <w:szCs w:val="21"/>
        </w:rPr>
        <w:t xml:space="preserve">Instagram: instagram.com/ormond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B2B2B"/>
          <w:sz w:val="21"/>
          <w:szCs w:val="21"/>
        </w:rPr>
        <w:t xml:space="preserve">Localização: Florianópolis, SC — Brasil</w:t>
      </w:r>
    </w:p>
    <w:p>
      <w:pPr>
        <w:spacing w:after="140"/>
      </w:pPr>
      <w:r>
        <w:rPr>
          <w:b w:val="false"/>
          <w:bCs w:val="false"/>
          <w:i/>
          <w:iCs/>
          <w:color w:val="2B2B2B"/>
          <w:sz w:val="21"/>
          <w:szCs w:val="21"/>
        </w:rPr>
        <w:t xml:space="preserve">Este documento deve ser revisado a cada trimestre junto com o Playbook Comercial v3, incorporando novos cases e ajustando scripts com base na taxa de resposta real de cada segmento.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Ormond Studio — Discursos de Vendas por Segmento  •  Página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2026-07-13T19:48:15.404Z</dcterms:created>
  <dcterms:modified xsi:type="dcterms:W3CDTF">2026-07-13T19:48:15.405Z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