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79017A0C" w:rsidP="79017A0C" w:rsidRDefault="79017A0C" w14:paraId="15F7219A" w14:textId="22C3B6A1">
      <w:pPr>
        <w:pStyle w:val="Normal"/>
        <w:ind w:left="-567" w:right="-660"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MX"/>
        </w:rPr>
      </w:pPr>
    </w:p>
    <w:p w:rsidR="456AD034" w:rsidP="318F4BD1" w:rsidRDefault="456AD034" w14:paraId="351218C1" w14:textId="12BCB7D3">
      <w:pPr>
        <w:pStyle w:val="Normal"/>
        <w:ind w:left="-567" w:right="-660"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MX"/>
        </w:rPr>
      </w:pPr>
      <w:r w:rsidRPr="318F4BD1" w:rsidR="3E90EBD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MX"/>
        </w:rPr>
        <w:t>Flujo de sistema</w:t>
      </w:r>
      <w:r w:rsidRPr="318F4BD1" w:rsidR="3E90EBD6">
        <w:rPr>
          <w:rFonts w:ascii="Arial" w:hAnsi="Arial" w:eastAsia="Arial" w:cs="Arial"/>
          <w:noProof w:val="0"/>
          <w:sz w:val="28"/>
          <w:szCs w:val="28"/>
          <w:lang w:val="es-MX"/>
        </w:rPr>
        <w:t xml:space="preserve"> (</w:t>
      </w:r>
      <w:r w:rsidRPr="318F4BD1" w:rsidR="3E90EBD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MX"/>
        </w:rPr>
        <w:t>Frontend)</w:t>
      </w:r>
      <w:r w:rsidRPr="318F4BD1" w:rsidR="3E90EBD6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MX"/>
        </w:rPr>
        <w:t>:</w:t>
      </w:r>
      <w:r w:rsidRPr="318F4BD1" w:rsidR="456AD03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s-MX"/>
        </w:rPr>
        <w:t xml:space="preserve"> </w:t>
      </w:r>
    </w:p>
    <w:p w:rsidR="79017A0C" w:rsidP="79017A0C" w:rsidRDefault="79017A0C" w14:paraId="1A5A522B" w14:textId="12E83E40">
      <w:pPr>
        <w:jc w:val="both"/>
      </w:pPr>
    </w:p>
    <w:p w:rsidR="456AD034" w:rsidP="79017A0C" w:rsidRDefault="456AD034" w14:paraId="7CDE472E" w14:textId="0F7A7B98">
      <w:pPr>
        <w:spacing w:before="0" w:beforeAutospacing="off" w:after="0" w:afterAutospacing="off"/>
        <w:jc w:val="both"/>
      </w:pPr>
      <w:r w:rsidRPr="79017A0C" w:rsidR="456AD03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>El sistema opera bajo una estructura de cuatro niveles conectados, donde la información fluye desde la configuración inicial hasta la toma de decisiones:</w:t>
      </w:r>
    </w:p>
    <w:p w:rsidR="79017A0C" w:rsidP="79017A0C" w:rsidRDefault="79017A0C" w14:paraId="1BCC8309" w14:textId="0FB04036">
      <w:pPr>
        <w:jc w:val="both"/>
      </w:pPr>
    </w:p>
    <w:p w:rsidR="456AD034" w:rsidP="79017A0C" w:rsidRDefault="456AD034" w14:paraId="2CC8A974" w14:textId="352FE157">
      <w:pPr>
        <w:spacing w:before="0" w:beforeAutospacing="off" w:after="0" w:afterAutospacing="off"/>
        <w:jc w:val="both"/>
      </w:pPr>
      <w:r w:rsidRPr="79017A0C" w:rsidR="456AD03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>1. Nivel de Configuración: Aquí inicia todo. Antes de gestionar casos, el sistema establece los cimientos: quiénes entran (Usuarios) y a qué áreas pertenecen (Catálogos de Gerencias y Materias). Esto asegura que cada abogado vea y gestione solo lo que le corresponde.</w:t>
      </w:r>
    </w:p>
    <w:p w:rsidR="79017A0C" w:rsidP="79017A0C" w:rsidRDefault="79017A0C" w14:paraId="6B33E289" w14:textId="7F0FE542">
      <w:pPr>
        <w:jc w:val="both"/>
      </w:pPr>
    </w:p>
    <w:p w:rsidR="456AD034" w:rsidP="79017A0C" w:rsidRDefault="456AD034" w14:paraId="622A632E" w14:textId="05B970B2">
      <w:pPr>
        <w:spacing w:before="0" w:beforeAutospacing="off" w:after="0" w:afterAutospacing="off"/>
        <w:jc w:val="both"/>
      </w:pPr>
      <w:r w:rsidRPr="79017A0C" w:rsidR="456AD03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>2. Nivel Central (Core): El módulo de Expedientes es el núcleo. Funciona como la "carpeta madre" digital. Nada ocurre de forma aislada; cualquier actividad operativa debe nacer vinculada a un expediente específico. Esto garantiza que toda la información esté siempre ordenada y localizada.</w:t>
      </w:r>
    </w:p>
    <w:p w:rsidR="79017A0C" w:rsidP="79017A0C" w:rsidRDefault="79017A0C" w14:paraId="0061983F" w14:textId="7F6E65F5">
      <w:pPr>
        <w:jc w:val="both"/>
      </w:pPr>
    </w:p>
    <w:p w:rsidR="456AD034" w:rsidP="79017A0C" w:rsidRDefault="456AD034" w14:paraId="26016810" w14:textId="3423D3DA">
      <w:pPr>
        <w:spacing w:before="0" w:beforeAutospacing="off" w:after="0" w:afterAutospacing="off"/>
        <w:jc w:val="both"/>
      </w:pPr>
      <w:r w:rsidRPr="79017A0C" w:rsidR="456AD03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>3. Nivel Operativo: Es donde los abogados realizan su trabajo. Del expediente nacen tres tipos de acciones:</w:t>
      </w:r>
    </w:p>
    <w:p w:rsidR="79017A0C" w:rsidP="79017A0C" w:rsidRDefault="79017A0C" w14:paraId="002747F9" w14:textId="4E1903F4">
      <w:pPr>
        <w:jc w:val="both"/>
      </w:pPr>
    </w:p>
    <w:p w:rsidR="456AD034" w:rsidP="79017A0C" w:rsidRDefault="456AD034" w14:paraId="75AA1BA0" w14:textId="10D0CAFA">
      <w:pPr>
        <w:pStyle w:val="ListParagraph"/>
        <w:numPr>
          <w:ilvl w:val="0"/>
          <w:numId w:val="1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</w:pPr>
      <w:r w:rsidRPr="79017A0C" w:rsidR="456AD03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 xml:space="preserve">    Términos: Para gestionar los plazos fatales y entregas de documentos.</w:t>
      </w:r>
    </w:p>
    <w:p w:rsidR="456AD034" w:rsidP="79017A0C" w:rsidRDefault="456AD034" w14:paraId="41BBC387" w14:textId="2C716772">
      <w:pPr>
        <w:pStyle w:val="ListParagraph"/>
        <w:numPr>
          <w:ilvl w:val="0"/>
          <w:numId w:val="1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</w:pPr>
      <w:r w:rsidRPr="79017A0C" w:rsidR="456AD03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 xml:space="preserve">    Audiencias: Para agendar y dar seguimiento a las citas en juzgados.</w:t>
      </w:r>
    </w:p>
    <w:p w:rsidR="456AD034" w:rsidP="79017A0C" w:rsidRDefault="456AD034" w14:paraId="5DBA16BD" w14:textId="44133D58">
      <w:pPr>
        <w:pStyle w:val="ListParagraph"/>
        <w:numPr>
          <w:ilvl w:val="0"/>
          <w:numId w:val="1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</w:pPr>
      <w:r w:rsidRPr="79017A0C" w:rsidR="456AD03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 xml:space="preserve">    Recordatorios: Para notas personales del usuario. Nota: Todas estas actividades heredan automáticamente los datos del expediente (como el número de caso y las partes involucradas).</w:t>
      </w:r>
    </w:p>
    <w:p w:rsidR="79017A0C" w:rsidP="79017A0C" w:rsidRDefault="79017A0C" w14:paraId="6E15FFB1" w14:textId="00C43856">
      <w:pPr>
        <w:jc w:val="both"/>
      </w:pPr>
    </w:p>
    <w:p w:rsidR="456AD034" w:rsidP="79017A0C" w:rsidRDefault="456AD034" w14:paraId="2C32816D" w14:textId="3EE72FC0">
      <w:pPr>
        <w:spacing w:before="0" w:beforeAutospacing="off" w:after="0" w:afterAutospacing="off"/>
        <w:jc w:val="both"/>
      </w:pPr>
      <w:r w:rsidRPr="79017A0C" w:rsidR="456AD03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>4. Nivel de Visualización y Control: Toda la actividad operativa anterior alimenta automáticamente tres herramientas clave para la gestión:</w:t>
      </w:r>
    </w:p>
    <w:p w:rsidR="79017A0C" w:rsidP="79017A0C" w:rsidRDefault="79017A0C" w14:paraId="038A036E" w14:textId="41AFA9FA">
      <w:pPr>
        <w:jc w:val="both"/>
      </w:pPr>
    </w:p>
    <w:p w:rsidR="456AD034" w:rsidP="79017A0C" w:rsidRDefault="456AD034" w14:paraId="53C6B3A4" w14:textId="3F2B0A91">
      <w:pPr>
        <w:pStyle w:val="ListParagraph"/>
        <w:numPr>
          <w:ilvl w:val="0"/>
          <w:numId w:val="2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</w:pPr>
      <w:r w:rsidRPr="79017A0C" w:rsidR="456AD03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>Agenda y Calendario: Sincroniza todas las fechas de términos y audiencias en una sola vista para evitar olvidos.</w:t>
      </w:r>
    </w:p>
    <w:p w:rsidR="456AD034" w:rsidP="79017A0C" w:rsidRDefault="456AD034" w14:paraId="4CA8496F" w14:textId="028DAD55">
      <w:pPr>
        <w:pStyle w:val="ListParagraph"/>
        <w:numPr>
          <w:ilvl w:val="0"/>
          <w:numId w:val="2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</w:pPr>
      <w:r w:rsidRPr="79017A0C" w:rsidR="456AD03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>Centro de Notificaciones: El sistema monitorea el calendario y envía alertas automáticas cuando se acerca un vencimiento o cuando hay cambios en un asunto.</w:t>
      </w:r>
    </w:p>
    <w:p w:rsidR="456AD034" w:rsidP="79017A0C" w:rsidRDefault="456AD034" w14:paraId="7D3E4073" w14:textId="0C2F90D9">
      <w:pPr>
        <w:pStyle w:val="ListParagraph"/>
        <w:numPr>
          <w:ilvl w:val="0"/>
          <w:numId w:val="2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</w:pPr>
      <w:r w:rsidRPr="79017A0C" w:rsidR="456AD03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>Dashboard</w:t>
      </w:r>
      <w:r w:rsidRPr="79017A0C" w:rsidR="456AD03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  <w:t xml:space="preserve"> (Tablero de Control): Transforma todos los datos en estadísticas. Permite a la Dirección ver en tiempo real la carga de trabajo por abogado, el volumen de asuntos y el estatus general de la gerencia sin tener que preguntar uno por uno.</w:t>
      </w:r>
    </w:p>
    <w:p w:rsidR="79017A0C" w:rsidP="79017A0C" w:rsidRDefault="79017A0C" w14:paraId="0AC93727" w14:textId="0D0740BB">
      <w:pPr>
        <w:pStyle w:val="Normal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</w:pPr>
    </w:p>
    <w:p w:rsidR="79017A0C" w:rsidP="79017A0C" w:rsidRDefault="79017A0C" w14:paraId="7D29B4D9" w14:textId="5CFCE9E9">
      <w:pPr>
        <w:jc w:val="both"/>
      </w:pPr>
      <w:r w:rsidR="79017A0C">
        <w:drawing>
          <wp:anchor distT="0" distB="0" distL="114300" distR="114300" simplePos="0" relativeHeight="251658240" behindDoc="0" locked="0" layoutInCell="1" allowOverlap="1" wp14:editId="3768283B" wp14:anchorId="2B870CD5">
            <wp:simplePos x="0" y="0"/>
            <wp:positionH relativeFrom="column">
              <wp:posOffset>-457200</wp:posOffset>
            </wp:positionH>
            <wp:positionV relativeFrom="paragraph">
              <wp:posOffset>-28575</wp:posOffset>
            </wp:positionV>
            <wp:extent cx="6701216" cy="4836968"/>
            <wp:effectExtent l="0" t="0" r="0" b="0"/>
            <wp:wrapNone/>
            <wp:docPr id="5278081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7808133" name="Picture 527808133"/>
                    <pic:cNvPicPr/>
                  </pic:nvPicPr>
                  <pic:blipFill>
                    <a:blip xmlns:r="http://schemas.openxmlformats.org/officeDocument/2006/relationships" r:embed="rId14607461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01216" cy="48369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9017A0C" w:rsidP="79017A0C" w:rsidRDefault="79017A0C" w14:paraId="6458ECF2" w14:textId="116A206A">
      <w:pPr>
        <w:jc w:val="both"/>
      </w:pPr>
    </w:p>
    <w:p w:rsidR="79017A0C" w:rsidP="79017A0C" w:rsidRDefault="79017A0C" w14:paraId="24069BDA" w14:textId="05E1F85B">
      <w:pPr>
        <w:spacing w:before="0" w:beforeAutospacing="off" w:after="0" w:afterAutospacing="off"/>
        <w:jc w:val="center"/>
      </w:pPr>
    </w:p>
    <w:p w:rsidR="79017A0C" w:rsidP="79017A0C" w:rsidRDefault="79017A0C" w14:paraId="12289B05" w14:textId="05D4725A">
      <w:pPr>
        <w:jc w:val="both"/>
      </w:pPr>
    </w:p>
    <w:p w:rsidR="79017A0C" w:rsidP="79017A0C" w:rsidRDefault="79017A0C" w14:paraId="17A4B7EE" w14:textId="0A1753CD">
      <w:pPr>
        <w:pStyle w:val="Normal"/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MX"/>
        </w:rPr>
      </w:pPr>
    </w:p>
    <w:p w:rsidR="79017A0C" w:rsidP="79017A0C" w:rsidRDefault="79017A0C" w14:paraId="01CD042B" w14:textId="7AB54D92">
      <w:pPr>
        <w:ind w:left="-567" w:right="-660"/>
        <w:jc w:val="both"/>
        <w:rPr>
          <w:rFonts w:ascii="Noto Sans" w:hAnsi="Noto Sans" w:cs="Noto Sans"/>
          <w:lang w:val="es-MX"/>
        </w:rPr>
      </w:pPr>
    </w:p>
    <w:p w:rsidRPr="00802AB3" w:rsidR="000F5DD3" w:rsidP="00884A1B" w:rsidRDefault="000F5DD3" w14:paraId="49AEC26B" w14:textId="50656088">
      <w:pPr>
        <w:ind w:left="-567" w:right="-660"/>
        <w:jc w:val="both"/>
        <w:rPr>
          <w:rFonts w:ascii="Noto Sans" w:hAnsi="Noto Sans" w:cs="Noto Sans"/>
          <w:lang w:val="es-MX"/>
        </w:rPr>
      </w:pPr>
    </w:p>
    <w:p w:rsidRPr="00802AB3" w:rsidR="000F5DD3" w:rsidP="00884A1B" w:rsidRDefault="000F5DD3" w14:paraId="5C351D31" w14:textId="7CADCE31">
      <w:pPr>
        <w:ind w:left="-567" w:right="-660"/>
        <w:jc w:val="both"/>
        <w:rPr>
          <w:rFonts w:ascii="Noto Sans" w:hAnsi="Noto Sans" w:cs="Noto Sans"/>
          <w:lang w:val="es-MX"/>
        </w:rPr>
      </w:pPr>
    </w:p>
    <w:p w:rsidRPr="00802AB3" w:rsidR="000F5DD3" w:rsidP="00884A1B" w:rsidRDefault="000F5DD3" w14:paraId="32CC357F" w14:textId="5F2D212D">
      <w:pPr>
        <w:ind w:left="-567" w:right="-660"/>
        <w:jc w:val="both"/>
        <w:rPr>
          <w:rFonts w:ascii="Noto Sans" w:hAnsi="Noto Sans" w:cs="Noto Sans"/>
          <w:lang w:val="es-MX"/>
        </w:rPr>
      </w:pPr>
    </w:p>
    <w:p w:rsidRPr="00802AB3" w:rsidR="000F5DD3" w:rsidP="00884A1B" w:rsidRDefault="000F5DD3" w14:paraId="615EA598" w14:textId="0703A7CA">
      <w:pPr>
        <w:ind w:left="-567" w:right="-660"/>
        <w:jc w:val="both"/>
        <w:rPr>
          <w:rFonts w:ascii="Noto Sans" w:hAnsi="Noto Sans" w:cs="Noto Sans"/>
          <w:lang w:val="es-MX"/>
        </w:rPr>
      </w:pPr>
    </w:p>
    <w:p w:rsidRPr="00802AB3" w:rsidR="000F5DD3" w:rsidP="00F1094A" w:rsidRDefault="000F5DD3" w14:paraId="7D8FAD55" w14:textId="0BF9993B">
      <w:pPr>
        <w:ind w:right="-660"/>
        <w:jc w:val="both"/>
        <w:rPr>
          <w:rFonts w:ascii="Noto Sans" w:hAnsi="Noto Sans" w:cs="Noto Sans"/>
          <w:lang w:val="es-MX"/>
        </w:rPr>
      </w:pPr>
    </w:p>
    <w:p w:rsidRPr="00802AB3" w:rsidR="000F5DD3" w:rsidP="00884A1B" w:rsidRDefault="000F5DD3" w14:paraId="01782FF3" w14:textId="7AD423A3">
      <w:pPr>
        <w:ind w:left="-567" w:right="-660"/>
        <w:jc w:val="both"/>
        <w:rPr>
          <w:rFonts w:ascii="Noto Sans" w:hAnsi="Noto Sans" w:cs="Noto Sans"/>
          <w:lang w:val="es-MX"/>
        </w:rPr>
      </w:pPr>
    </w:p>
    <w:p w:rsidRPr="00802AB3" w:rsidR="000F5DD3" w:rsidP="00884A1B" w:rsidRDefault="000F5DD3" w14:paraId="3768246B" w14:textId="3149FA28">
      <w:pPr>
        <w:ind w:left="-567" w:right="-660"/>
        <w:jc w:val="both"/>
        <w:rPr>
          <w:rFonts w:ascii="Noto Sans" w:hAnsi="Noto Sans" w:cs="Noto Sans"/>
          <w:lang w:val="es-MX"/>
        </w:rPr>
      </w:pPr>
    </w:p>
    <w:p w:rsidRPr="00802AB3" w:rsidR="000F5DD3" w:rsidP="00802AB3" w:rsidRDefault="000F5DD3" w14:paraId="5DCF50FA" w14:textId="77777777">
      <w:pPr>
        <w:ind w:right="-660"/>
        <w:jc w:val="both"/>
        <w:rPr>
          <w:rFonts w:ascii="Noto Sans" w:hAnsi="Noto Sans" w:cs="Noto Sans"/>
          <w:lang w:val="es-MX"/>
        </w:rPr>
      </w:pPr>
    </w:p>
    <w:p w:rsidRPr="00802AB3" w:rsidR="00802AB3" w:rsidP="79017A0C" w:rsidRDefault="000F5DD3" w14:paraId="26961F1A" w14:textId="2CE9B37E">
      <w:pPr>
        <w:pStyle w:val="Normal"/>
        <w:ind w:left="-567" w:right="-660"/>
        <w:jc w:val="both"/>
        <w:rPr>
          <w:rFonts w:ascii="Noto Sans" w:hAnsi="Noto Sans" w:cs="Noto Sans"/>
          <w:lang w:val="es-MX"/>
        </w:rPr>
      </w:pPr>
      <w:proofErr w:type="spellStart"/>
      <w:proofErr w:type="spellEnd"/>
    </w:p>
    <w:sectPr w:rsidRPr="00802AB3" w:rsidR="00802AB3" w:rsidSect="00802AB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orient="portrait"/>
      <w:pgMar w:top="2574" w:right="1701" w:bottom="1418" w:left="1701" w:header="709" w:footer="12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91F03" w:rsidP="00A73D65" w:rsidRDefault="00E91F03" w14:paraId="58601780" w14:textId="77777777">
      <w:r>
        <w:separator/>
      </w:r>
    </w:p>
  </w:endnote>
  <w:endnote w:type="continuationSeparator" w:id="0">
    <w:p w:rsidR="00E91F03" w:rsidP="00A73D65" w:rsidRDefault="00E91F03" w14:paraId="359EA3A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Noto Sans SemiBold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7BD55795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A73D65" w:rsidRDefault="00B87C85" w14:paraId="3DC91D03" w14:textId="0DEC30FB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91FC72E" wp14:editId="581A37A5">
              <wp:simplePos x="0" y="0"/>
              <wp:positionH relativeFrom="column">
                <wp:posOffset>1137285</wp:posOffset>
              </wp:positionH>
              <wp:positionV relativeFrom="page">
                <wp:posOffset>8821852</wp:posOffset>
              </wp:positionV>
              <wp:extent cx="7411085" cy="487680"/>
              <wp:effectExtent l="0" t="0" r="0" b="0"/>
              <wp:wrapNone/>
              <wp:docPr id="379978026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11085" cy="4876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802AB3" w:rsidP="00802AB3" w:rsidRDefault="005F53EF" w14:paraId="4EC8F6EA" w14:textId="77777777">
                          <w:pPr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</w:pPr>
                          <w:r w:rsidRPr="00802AB3"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  <w:t>Centro TELECOMM I, Av. de las Telecomunicaciones s/n, Col. Leyes de Reforma, CP. 09310,</w:t>
                          </w:r>
                        </w:p>
                        <w:p w:rsidRPr="00802AB3" w:rsidR="00B87C85" w:rsidP="00802AB3" w:rsidRDefault="005F53EF" w14:paraId="18D71277" w14:textId="558447F2">
                          <w:pPr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</w:pPr>
                          <w:r w:rsidRPr="00802AB3">
                            <w:rPr>
                              <w:rFonts w:ascii="Noto Sans SemiBold" w:hAnsi="Noto Sans SemiBold" w:cs="Noto Sans SemiBold"/>
                              <w:b/>
                              <w:bCs/>
                              <w:color w:val="611232"/>
                              <w:sz w:val="16"/>
                              <w:szCs w:val="16"/>
                            </w:rPr>
                            <w:t>Alcaldía Iztapalapa, CDMX       Tel: (55) 5090 1100     www.gob.mx/finabien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391FC72E">
              <v:stroke joinstyle="miter"/>
              <v:path gradientshapeok="t" o:connecttype="rect"/>
            </v:shapetype>
            <v:shape id="Cuadro de texto 3" style="position:absolute;margin-left:89.55pt;margin-top:694.65pt;width:583.55pt;height:38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">
              <v:textbox>
                <w:txbxContent>
                  <w:p w:rsidR="00802AB3" w:rsidP="00802AB3" w:rsidRDefault="005F53EF" w14:paraId="4EC8F6EA" w14:textId="77777777">
                    <w:pPr>
                      <w:rPr>
                        <w:rFonts w:ascii="Noto Sans SemiBold" w:hAnsi="Noto Sans SemiBold" w:cs="Noto Sans SemiBold"/>
                        <w:b/>
                        <w:bCs/>
                        <w:color w:val="611232"/>
                        <w:sz w:val="16"/>
                        <w:szCs w:val="16"/>
                      </w:rPr>
                    </w:pPr>
                    <w:r w:rsidRPr="00802AB3">
                      <w:rPr>
                        <w:rFonts w:ascii="Noto Sans SemiBold" w:hAnsi="Noto Sans SemiBold" w:cs="Noto Sans SemiBold"/>
                        <w:b/>
                        <w:bCs/>
                        <w:color w:val="611232"/>
                        <w:sz w:val="16"/>
                        <w:szCs w:val="16"/>
                      </w:rPr>
                      <w:t>Centro TELECOMM I, Av. de las Telecomunicaciones s/n, Col. Leyes de Reforma, CP. 09310,</w:t>
                    </w:r>
                  </w:p>
                  <w:p w:rsidRPr="00802AB3" w:rsidR="00B87C85" w:rsidP="00802AB3" w:rsidRDefault="005F53EF" w14:paraId="18D71277" w14:textId="558447F2">
                    <w:pPr>
                      <w:rPr>
                        <w:rFonts w:ascii="Noto Sans SemiBold" w:hAnsi="Noto Sans SemiBold" w:cs="Noto Sans SemiBold"/>
                        <w:b/>
                        <w:bCs/>
                        <w:color w:val="611232"/>
                        <w:sz w:val="16"/>
                        <w:szCs w:val="16"/>
                      </w:rPr>
                    </w:pPr>
                    <w:r w:rsidRPr="00802AB3">
                      <w:rPr>
                        <w:rFonts w:ascii="Noto Sans SemiBold" w:hAnsi="Noto Sans SemiBold" w:cs="Noto Sans SemiBold"/>
                        <w:b/>
                        <w:bCs/>
                        <w:color w:val="611232"/>
                        <w:sz w:val="16"/>
                        <w:szCs w:val="16"/>
                      </w:rPr>
                      <w:t>Alcaldía Iztapalapa, CDMX       Tel: (55) 5090 1100     www.gob.mx/finabien</w:t>
                    </w:r>
                  </w:p>
                </w:txbxContent>
              </v:textbox>
              <w10:wrap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27818C8B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91F03" w:rsidP="00A73D65" w:rsidRDefault="00E91F03" w14:paraId="6536CAFD" w14:textId="77777777">
      <w:r>
        <w:separator/>
      </w:r>
    </w:p>
  </w:footnote>
  <w:footnote w:type="continuationSeparator" w:id="0">
    <w:p w:rsidR="00E91F03" w:rsidP="00A73D65" w:rsidRDefault="00E91F03" w14:paraId="28EC2ED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7F9ECC85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A73D65" w:rsidRDefault="00802AB3" w14:paraId="46F1E181" w14:textId="5A8DE759">
    <w:pPr>
      <w:pStyle w:val="Encabezad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10F12331" wp14:editId="0A921F52">
          <wp:simplePos x="0" y="0"/>
          <wp:positionH relativeFrom="column">
            <wp:posOffset>-1070406</wp:posOffset>
          </wp:positionH>
          <wp:positionV relativeFrom="page">
            <wp:posOffset>9728</wp:posOffset>
          </wp:positionV>
          <wp:extent cx="7750835" cy="10029600"/>
          <wp:effectExtent l="0" t="0" r="0" b="381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0835" cy="1002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C4908" w:rsidRDefault="00BC4908" w14:paraId="59B9067C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41363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2f191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mirrorMargins/>
  <w:proofState w:spelling="clean" w:grammar="dirty"/>
  <w:trackRevisions w:val="false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16E"/>
    <w:rsid w:val="00006966"/>
    <w:rsid w:val="00024D17"/>
    <w:rsid w:val="00041843"/>
    <w:rsid w:val="00095778"/>
    <w:rsid w:val="000C250E"/>
    <w:rsid w:val="000E0054"/>
    <w:rsid w:val="000F5DD3"/>
    <w:rsid w:val="0013432B"/>
    <w:rsid w:val="00156A3E"/>
    <w:rsid w:val="00161740"/>
    <w:rsid w:val="00180A38"/>
    <w:rsid w:val="00184325"/>
    <w:rsid w:val="0022614B"/>
    <w:rsid w:val="00256B1D"/>
    <w:rsid w:val="0029542D"/>
    <w:rsid w:val="002E2142"/>
    <w:rsid w:val="0030476A"/>
    <w:rsid w:val="00363222"/>
    <w:rsid w:val="00370465"/>
    <w:rsid w:val="003A5870"/>
    <w:rsid w:val="003D416E"/>
    <w:rsid w:val="003E1335"/>
    <w:rsid w:val="00427F22"/>
    <w:rsid w:val="00477F45"/>
    <w:rsid w:val="004A4C4E"/>
    <w:rsid w:val="004D146C"/>
    <w:rsid w:val="005118A3"/>
    <w:rsid w:val="0057409A"/>
    <w:rsid w:val="005C1A7C"/>
    <w:rsid w:val="005F53EF"/>
    <w:rsid w:val="00626EE3"/>
    <w:rsid w:val="00631824"/>
    <w:rsid w:val="006322C1"/>
    <w:rsid w:val="006C0425"/>
    <w:rsid w:val="006C3B4E"/>
    <w:rsid w:val="006E15E7"/>
    <w:rsid w:val="007421E3"/>
    <w:rsid w:val="0078195E"/>
    <w:rsid w:val="007B74AD"/>
    <w:rsid w:val="007D77D1"/>
    <w:rsid w:val="007E5888"/>
    <w:rsid w:val="00802AB3"/>
    <w:rsid w:val="00831EE7"/>
    <w:rsid w:val="00834146"/>
    <w:rsid w:val="00884A1B"/>
    <w:rsid w:val="009066A7"/>
    <w:rsid w:val="00906FD4"/>
    <w:rsid w:val="00907F1C"/>
    <w:rsid w:val="00932C27"/>
    <w:rsid w:val="00937C98"/>
    <w:rsid w:val="00942415"/>
    <w:rsid w:val="009A1AB3"/>
    <w:rsid w:val="009C12D6"/>
    <w:rsid w:val="009F2BA1"/>
    <w:rsid w:val="00A07674"/>
    <w:rsid w:val="00A301D7"/>
    <w:rsid w:val="00A600EA"/>
    <w:rsid w:val="00A73D65"/>
    <w:rsid w:val="00A83713"/>
    <w:rsid w:val="00B32B3B"/>
    <w:rsid w:val="00B53C2A"/>
    <w:rsid w:val="00B72D65"/>
    <w:rsid w:val="00B87C85"/>
    <w:rsid w:val="00BB21A6"/>
    <w:rsid w:val="00BB2DFF"/>
    <w:rsid w:val="00BC43BD"/>
    <w:rsid w:val="00BC4908"/>
    <w:rsid w:val="00BC7ECE"/>
    <w:rsid w:val="00C02E98"/>
    <w:rsid w:val="00C23B9E"/>
    <w:rsid w:val="00C279A3"/>
    <w:rsid w:val="00C30849"/>
    <w:rsid w:val="00C465FE"/>
    <w:rsid w:val="00C67047"/>
    <w:rsid w:val="00C90CED"/>
    <w:rsid w:val="00CB7D4F"/>
    <w:rsid w:val="00CE3E99"/>
    <w:rsid w:val="00D1354D"/>
    <w:rsid w:val="00D3758B"/>
    <w:rsid w:val="00D84E05"/>
    <w:rsid w:val="00DB53A4"/>
    <w:rsid w:val="00DC3A73"/>
    <w:rsid w:val="00E155A4"/>
    <w:rsid w:val="00E91F03"/>
    <w:rsid w:val="00E93867"/>
    <w:rsid w:val="00EB27BD"/>
    <w:rsid w:val="00EB407F"/>
    <w:rsid w:val="00EB6EE2"/>
    <w:rsid w:val="00EE053F"/>
    <w:rsid w:val="00F1094A"/>
    <w:rsid w:val="00F24915"/>
    <w:rsid w:val="00F401F9"/>
    <w:rsid w:val="00F745B2"/>
    <w:rsid w:val="00F945F2"/>
    <w:rsid w:val="00FD754F"/>
    <w:rsid w:val="00FD75E1"/>
    <w:rsid w:val="00FF06FA"/>
    <w:rsid w:val="00FF6F17"/>
    <w:rsid w:val="0EFDF766"/>
    <w:rsid w:val="318F4BD1"/>
    <w:rsid w:val="377B652D"/>
    <w:rsid w:val="3E90EBD6"/>
    <w:rsid w:val="456AD034"/>
    <w:rsid w:val="79017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B1EA0C"/>
  <w15:chartTrackingRefBased/>
  <w15:docId w15:val="{0F17CD5A-1E39-D544-8E33-A6309B43A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eastAsiaTheme="minorEastAsia"/>
      <w:lang w:val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73D65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A73D65"/>
    <w:rPr>
      <w:rFonts w:eastAsiaTheme="minorEastAsi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73D65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A73D65"/>
    <w:rPr>
      <w:rFonts w:eastAsiaTheme="minorEastAsia"/>
      <w:lang w:val="es-ES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theme" Target="theme/theme1.xml" Id="rId13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fontTable" Target="fontTable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footer" Target="footer3.xml" Id="rId11" /><Relationship Type="http://schemas.openxmlformats.org/officeDocument/2006/relationships/endnotes" Target="endnotes.xml" Id="rId5" /><Relationship Type="http://schemas.openxmlformats.org/officeDocument/2006/relationships/header" Target="header3.xml" Id="rId10" /><Relationship Type="http://schemas.openxmlformats.org/officeDocument/2006/relationships/footnotes" Target="footnotes.xml" Id="rId4" /><Relationship Type="http://schemas.openxmlformats.org/officeDocument/2006/relationships/footer" Target="footer2.xml" Id="rId9" /><Relationship Type="http://schemas.openxmlformats.org/officeDocument/2006/relationships/image" Target="/media/image.png" Id="rId1460746159" /><Relationship Type="http://schemas.openxmlformats.org/officeDocument/2006/relationships/numbering" Target="numbering.xml" Id="R1b7170aca47f4725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Pablo Andrés Silva Páez</dc:creator>
  <keywords/>
  <dc:description/>
  <lastModifiedBy>Rodrigo Cristóbal Paz Jiménez</lastModifiedBy>
  <revision>14</revision>
  <dcterms:created xsi:type="dcterms:W3CDTF">2024-11-07T17:30:00.0000000Z</dcterms:created>
  <dcterms:modified xsi:type="dcterms:W3CDTF">2026-01-02T16:10:35.8431578Z</dcterms:modified>
</coreProperties>
</file>