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77B2C8E1" w:rsidP="77B2C8E1" w:rsidRDefault="77B2C8E1" w14:paraId="7620FA86" w14:textId="5A813481">
      <w:pPr>
        <w:pStyle w:val="Normal"/>
        <w:jc w:val="both"/>
      </w:pPr>
    </w:p>
    <w:p w:rsidR="458B2FB6" w:rsidP="77B2C8E1" w:rsidRDefault="458B2FB6" w14:paraId="29DFDF03" w14:textId="40FF7D5E">
      <w:pPr>
        <w:spacing w:before="280" w:beforeAutospacing="off" w:after="0" w:afterAutospacing="off"/>
        <w:jc w:val="both"/>
      </w:pPr>
      <w:r w:rsidRPr="77B2C8E1" w:rsidR="458B2FB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MX"/>
        </w:rPr>
        <w:t>Arquitectura de la Base de Datos</w:t>
      </w:r>
    </w:p>
    <w:p w:rsidR="458B2FB6" w:rsidP="77B2C8E1" w:rsidRDefault="458B2FB6" w14:paraId="53DD4CB9" w14:textId="78BE1DDA">
      <w:pPr>
        <w:spacing w:before="280" w:beforeAutospacing="off" w:after="0" w:afterAutospacing="off"/>
        <w:jc w:val="both"/>
      </w:pPr>
      <w:r w:rsidRPr="77B2C8E1" w:rsidR="458B2FB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>El diagrama Entidad-Relación (ER) representa un diseño relacional normalizado, optimizado para garantizar la integridad, la seguridad y el rendimiento de las consultas. A continuación, se detalla la lógica técnica detrás de cada componente:</w:t>
      </w:r>
    </w:p>
    <w:p w:rsidR="458B2FB6" w:rsidP="77B2C8E1" w:rsidRDefault="458B2FB6" w14:paraId="562736D7" w14:textId="62EB23B5">
      <w:pPr>
        <w:spacing w:before="240" w:beforeAutospacing="off" w:after="240" w:afterAutospacing="off"/>
        <w:jc w:val="both"/>
      </w:pPr>
      <w:r w:rsidRPr="77B2C8E1" w:rsidR="458B2FB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>1. Normalización y Organización (Gerencias y Materias) Se optó por un esquema altamente normalizado para evitar redundancia de datos.</w:t>
      </w:r>
    </w:p>
    <w:p w:rsidR="458B2FB6" w:rsidP="77B2C8E1" w:rsidRDefault="458B2FB6" w14:paraId="26E00A7D" w14:textId="4E3B9A8A">
      <w:pPr>
        <w:pStyle w:val="ListParagraph"/>
        <w:numPr>
          <w:ilvl w:val="0"/>
          <w:numId w:val="6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</w:pPr>
      <w:r w:rsidRPr="77B2C8E1" w:rsidR="458B2FB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>Desacoplamiento: Las GERENCIAS y MATERIAS se separan de la tabla de usuarios. Esto permite actualizar nombres administrativos en un solo lugar sin afectar miles de registros históricos .</w:t>
      </w:r>
    </w:p>
    <w:p w:rsidR="458B2FB6" w:rsidP="77B2C8E1" w:rsidRDefault="458B2FB6" w14:paraId="3FCA56E4" w14:textId="6AD91A86">
      <w:pPr>
        <w:pStyle w:val="ListParagraph"/>
        <w:numPr>
          <w:ilvl w:val="0"/>
          <w:numId w:val="6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</w:pPr>
      <w:r w:rsidRPr="77B2C8E1" w:rsidR="458B2FB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>Relación N:M (Tabla Pivote): La tabla intermedia USUARIO_MATERIAS permite asignar múltiples especialidades a un mismo abogado sin duplicar su perfil, optimizando el almacenamiento y la gestión de permisos .</w:t>
      </w:r>
    </w:p>
    <w:p w:rsidR="458B2FB6" w:rsidP="77B2C8E1" w:rsidRDefault="458B2FB6" w14:paraId="04ACAE15" w14:textId="77A03313">
      <w:pPr>
        <w:spacing w:before="240" w:beforeAutospacing="off" w:after="240" w:afterAutospacing="off"/>
        <w:jc w:val="both"/>
      </w:pPr>
      <w:r w:rsidRPr="77B2C8E1" w:rsidR="458B2FB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>2. El Núcleo: Integridad y Seguridad en EXPEDIENTES El diseño de la tabla central prioriza la seguridad y la consistencia de los datos.</w:t>
      </w:r>
    </w:p>
    <w:p w:rsidR="458B2FB6" w:rsidP="77B2C8E1" w:rsidRDefault="458B2FB6" w14:paraId="2F745C56" w14:textId="54086B8D">
      <w:pPr>
        <w:pStyle w:val="ListParagraph"/>
        <w:numPr>
          <w:ilvl w:val="0"/>
          <w:numId w:val="7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</w:pPr>
      <w:r w:rsidRPr="77B2C8E1" w:rsidR="458B2FB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>UUID como Primary Key: Se utiliza un identificador UUID en lugar de un entero incremental. Esto fortalece la seguridad (evita la predicción de IDs) y facilita la escalabilidad o migración de datos a futuro .</w:t>
      </w:r>
    </w:p>
    <w:p w:rsidR="458B2FB6" w:rsidP="77B2C8E1" w:rsidRDefault="458B2FB6" w14:paraId="45BB2DA6" w14:textId="3C37440D">
      <w:pPr>
        <w:pStyle w:val="ListParagraph"/>
        <w:numPr>
          <w:ilvl w:val="0"/>
          <w:numId w:val="7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</w:pPr>
      <w:r w:rsidRPr="77B2C8E1" w:rsidR="458B2FB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>Integridad Referencial Estricta: Las llaves foráneas (FK) hacia Materia, Gerencia y Abogado son obligatorias, impidiendo técnicamente la creación de "expedientes huérfanos" o sin responsable asignado .</w:t>
      </w:r>
    </w:p>
    <w:p w:rsidR="458B2FB6" w:rsidP="77B2C8E1" w:rsidRDefault="458B2FB6" w14:paraId="2FA73608" w14:textId="179BAA71">
      <w:pPr>
        <w:spacing w:before="240" w:beforeAutospacing="off" w:after="240" w:afterAutospacing="off"/>
        <w:jc w:val="both"/>
      </w:pPr>
      <w:r w:rsidRPr="77B2C8E1" w:rsidR="458B2FB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>3. Lógica de Negocio en Tablas Operativas (AUDIENCIAS y TERMINOS) Estas tablas no son simples registros de fechas; controlan el flujo de trabajo.</w:t>
      </w:r>
    </w:p>
    <w:p w:rsidR="458B2FB6" w:rsidP="77B2C8E1" w:rsidRDefault="458B2FB6" w14:paraId="535DA1B1" w14:textId="4E4A4234">
      <w:pPr>
        <w:pStyle w:val="ListParagraph"/>
        <w:numPr>
          <w:ilvl w:val="0"/>
          <w:numId w:val="8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</w:pPr>
      <w:r w:rsidRPr="77B2C8E1" w:rsidR="458B2FB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>Ciclo de Vida: La tabla TERMINOS incluye un campo de estatus ("Proyectista/Firma") para rastrear en qué fase se encuentra el documento físico .</w:t>
      </w:r>
    </w:p>
    <w:p w:rsidR="458B2FB6" w:rsidP="77B2C8E1" w:rsidRDefault="458B2FB6" w14:paraId="2589FFA0" w14:textId="271948F4">
      <w:pPr>
        <w:pStyle w:val="ListParagraph"/>
        <w:numPr>
          <w:ilvl w:val="0"/>
          <w:numId w:val="8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</w:pPr>
      <w:r w:rsidRPr="77B2C8E1" w:rsidR="458B2FB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>Control de Asistencia: La tabla AUDIENCIAS separa el estado administrativo ("Programada") del operativo ("Atendida"), permitiendo medir KPIs de cumplimiento real mediante un booleano específico .</w:t>
      </w:r>
    </w:p>
    <w:p w:rsidR="458B2FB6" w:rsidP="77B2C8E1" w:rsidRDefault="458B2FB6" w14:paraId="04B199C2" w14:textId="42DFF0E3">
      <w:pPr>
        <w:spacing w:before="240" w:beforeAutospacing="off" w:after="240" w:afterAutospacing="off"/>
        <w:jc w:val="both"/>
      </w:pPr>
      <w:r w:rsidRPr="77B2C8E1" w:rsidR="458B2FB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>4. Estrategia de Rendimiento: Tabla CALENDARIO Esta tabla implementa una estrategia de desnormalización controlada para optimizar la velocidad de lectura.</w:t>
      </w:r>
    </w:p>
    <w:p w:rsidR="458B2FB6" w:rsidP="77B2C8E1" w:rsidRDefault="458B2FB6" w14:paraId="796A603A" w14:textId="4C29973A">
      <w:pPr>
        <w:pStyle w:val="ListParagraph"/>
        <w:numPr>
          <w:ilvl w:val="0"/>
          <w:numId w:val="9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</w:pPr>
      <w:r w:rsidRPr="77B2C8E1" w:rsidR="458B2FB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>Índice Unificado: En lugar de realizar uniones complejas (JOINs) entre tablas masivas cada vez que se abre la agenda, la tabla CALENDARIO actúa como un índice ligero que centraliza fechas de audiencias y términos, mejorando drásticamente los tiempos de carga de la interfaz .</w:t>
      </w:r>
    </w:p>
    <w:p w:rsidR="77B2C8E1" w:rsidP="77B2C8E1" w:rsidRDefault="77B2C8E1" w14:paraId="59801424" w14:textId="5FC7FD95">
      <w:pPr>
        <w:jc w:val="both"/>
      </w:pPr>
    </w:p>
    <w:p w:rsidR="77B2C8E1" w:rsidP="77B2C8E1" w:rsidRDefault="77B2C8E1" w14:paraId="75A84FA7" w14:textId="1CF6EA22">
      <w:pPr>
        <w:jc w:val="both"/>
      </w:pPr>
    </w:p>
    <w:p w:rsidR="458B2FB6" w:rsidP="77B2C8E1" w:rsidRDefault="458B2FB6" w14:paraId="4F72009A" w14:textId="00991190">
      <w:pPr>
        <w:spacing w:before="240" w:beforeAutospacing="off" w:after="240" w:afterAutospacing="off"/>
        <w:jc w:val="both"/>
      </w:pPr>
      <w:r w:rsidRPr="77B2C8E1" w:rsidR="458B2FB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>5. Auditoría y Flexibilidad (TIMELINE y NOTIFICACIONES) Diseño preparado para la trazabilidad forense y la evolución del sistema.</w:t>
      </w:r>
    </w:p>
    <w:p w:rsidR="458B2FB6" w:rsidP="77B2C8E1" w:rsidRDefault="458B2FB6" w14:paraId="24FD7E5A" w14:textId="36B9C108">
      <w:pPr>
        <w:pStyle w:val="ListParagraph"/>
        <w:numPr>
          <w:ilvl w:val="0"/>
          <w:numId w:val="10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</w:pPr>
      <w:r w:rsidRPr="77B2C8E1" w:rsidR="458B2FB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>Log de Auditoría (Append-only): La tabla TIMELINE está diseñada para ser inmutable, registrando secuencialmente "quién, qué y cuándo" modificó un expediente, esencial para la transparencia procesal .</w:t>
      </w:r>
    </w:p>
    <w:p w:rsidR="458B2FB6" w:rsidP="0BE6EAA3" w:rsidRDefault="458B2FB6" w14:paraId="5EEED539" w14:textId="7A67B976">
      <w:pPr>
        <w:pStyle w:val="ListParagraph"/>
        <w:numPr>
          <w:ilvl w:val="0"/>
          <w:numId w:val="10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</w:pPr>
      <w:r w:rsidRPr="0BE6EAA3" w:rsidR="458B2FB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 xml:space="preserve">Datos No Estructurados (JSONB): La tabla NOTIFICACIONES utiliza el tipo de dato </w:t>
      </w:r>
      <w:r w:rsidRPr="0BE6EAA3" w:rsidR="458B2FB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>jsonb</w:t>
      </w:r>
      <w:r w:rsidRPr="0BE6EAA3" w:rsidR="458B2FB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 xml:space="preserve"> en la columna detalles. Esto permite almacenar estructuras de datos variables (alertas de diferentes tipos) sin necesidad de modificar el esquema de la base de datos (</w:t>
      </w:r>
      <w:r w:rsidRPr="0BE6EAA3" w:rsidR="458B2FB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>Schema</w:t>
      </w:r>
      <w:r w:rsidRPr="0BE6EAA3" w:rsidR="458B2FB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 xml:space="preserve"> </w:t>
      </w:r>
      <w:r w:rsidRPr="0BE6EAA3" w:rsidR="458B2FB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>Alteration</w:t>
      </w:r>
      <w:r w:rsidRPr="0BE6EAA3" w:rsidR="458B2FB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>) ante nuevos requerimientos</w:t>
      </w:r>
    </w:p>
    <w:p w:rsidR="0BE6EAA3" w:rsidP="0BE6EAA3" w:rsidRDefault="0BE6EAA3" w14:paraId="30C8FDCC" w14:textId="5966F071">
      <w:pPr>
        <w:pStyle w:val="ListParagraph"/>
        <w:spacing w:before="220" w:beforeAutospacing="off" w:after="220" w:afterAutospacing="off"/>
        <w:ind w:left="72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</w:pPr>
    </w:p>
    <w:p w:rsidR="0BE6EAA3" w:rsidP="0BE6EAA3" w:rsidRDefault="0BE6EAA3" w14:paraId="2D1D95F5" w14:textId="3A5574DE">
      <w:pPr>
        <w:pStyle w:val="ListParagraph"/>
        <w:spacing w:before="220" w:beforeAutospacing="off" w:after="220" w:afterAutospacing="off"/>
        <w:ind w:left="72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</w:pPr>
      <w:r w:rsidR="0BE6EAA3">
        <w:drawing>
          <wp:anchor distT="0" distB="0" distL="114300" distR="114300" simplePos="0" relativeHeight="251658240" behindDoc="0" locked="0" layoutInCell="1" allowOverlap="1" wp14:editId="4D796B24" wp14:anchorId="0ABBD4A9">
            <wp:simplePos x="0" y="0"/>
            <wp:positionH relativeFrom="column">
              <wp:posOffset>504825</wp:posOffset>
            </wp:positionH>
            <wp:positionV relativeFrom="paragraph">
              <wp:posOffset>57150</wp:posOffset>
            </wp:positionV>
            <wp:extent cx="4696029" cy="3389615"/>
            <wp:effectExtent l="0" t="0" r="0" b="0"/>
            <wp:wrapNone/>
            <wp:docPr id="10291963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9196318" name="Picture 1029196318"/>
                    <pic:cNvPicPr/>
                  </pic:nvPicPr>
                  <pic:blipFill>
                    <a:blip xmlns:r="http://schemas.openxmlformats.org/officeDocument/2006/relationships" r:embed="rId10618657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96029" cy="3389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BE6EAA3" w:rsidP="0BE6EAA3" w:rsidRDefault="0BE6EAA3" w14:paraId="10B77161" w14:textId="36FA1B46">
      <w:pPr>
        <w:pStyle w:val="ListParagraph"/>
        <w:spacing w:before="220" w:beforeAutospacing="off" w:after="220" w:afterAutospacing="off"/>
        <w:ind w:left="72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</w:pPr>
    </w:p>
    <w:p w:rsidR="77B2C8E1" w:rsidP="77B2C8E1" w:rsidRDefault="77B2C8E1" w14:paraId="4A786F6D" w14:textId="38E7EFCD">
      <w:pPr>
        <w:jc w:val="both"/>
      </w:pPr>
    </w:p>
    <w:p w:rsidR="77B2C8E1" w:rsidP="77B2C8E1" w:rsidRDefault="77B2C8E1" w14:paraId="4AF1AD43" w14:textId="1528EA19">
      <w:pPr>
        <w:jc w:val="both"/>
      </w:pPr>
    </w:p>
    <w:p w:rsidR="77B2C8E1" w:rsidP="77B2C8E1" w:rsidRDefault="77B2C8E1" w14:paraId="60B94FAB" w14:textId="408B224F">
      <w:pPr>
        <w:spacing w:before="0" w:beforeAutospacing="off" w:after="0" w:afterAutospacing="off"/>
        <w:jc w:val="both"/>
      </w:pPr>
    </w:p>
    <w:p w:rsidR="77B2C8E1" w:rsidP="77B2C8E1" w:rsidRDefault="77B2C8E1" w14:paraId="499A78C3" w14:textId="75078E3C">
      <w:pPr>
        <w:jc w:val="both"/>
      </w:pPr>
    </w:p>
    <w:p w:rsidR="77B2C8E1" w:rsidP="77B2C8E1" w:rsidRDefault="77B2C8E1" w14:paraId="7E73E5CB" w14:textId="4AB6C1D4">
      <w:pPr>
        <w:pStyle w:val="Normal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</w:pPr>
    </w:p>
    <w:sectPr w:rsidRPr="00802AB3" w:rsidR="00802AB3" w:rsidSect="00802AB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orient="portrait"/>
      <w:pgMar w:top="2574" w:right="1701" w:bottom="1418" w:left="1701" w:header="709" w:footer="12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91F03" w:rsidP="00A73D65" w:rsidRDefault="00E91F03" w14:paraId="58601780" w14:textId="77777777">
      <w:r>
        <w:separator/>
      </w:r>
    </w:p>
  </w:endnote>
  <w:endnote w:type="continuationSeparator" w:id="0">
    <w:p w:rsidR="00E91F03" w:rsidP="00A73D65" w:rsidRDefault="00E91F03" w14:paraId="359EA3A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Noto Sans SemiBold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4908" w:rsidRDefault="00BC4908" w14:paraId="7BD55795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A73D65" w:rsidRDefault="00B87C85" w14:paraId="3DC91D03" w14:textId="0DEC30FB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91FC72E" wp14:editId="581A37A5">
              <wp:simplePos x="0" y="0"/>
              <wp:positionH relativeFrom="column">
                <wp:posOffset>1137285</wp:posOffset>
              </wp:positionH>
              <wp:positionV relativeFrom="page">
                <wp:posOffset>8821852</wp:posOffset>
              </wp:positionV>
              <wp:extent cx="7411085" cy="487680"/>
              <wp:effectExtent l="0" t="0" r="0" b="0"/>
              <wp:wrapNone/>
              <wp:docPr id="379978026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11085" cy="4876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802AB3" w:rsidP="00802AB3" w:rsidRDefault="005F53EF" w14:paraId="4EC8F6EA" w14:textId="77777777">
                          <w:pPr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611232"/>
                              <w:sz w:val="16"/>
                              <w:szCs w:val="16"/>
                            </w:rPr>
                          </w:pPr>
                          <w:r w:rsidRPr="00802AB3"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611232"/>
                              <w:sz w:val="16"/>
                              <w:szCs w:val="16"/>
                            </w:rPr>
                            <w:t>Centro TELECOMM I, Av. de las Telecomunicaciones s/n, Col. Leyes de Reforma, CP. 09310,</w:t>
                          </w:r>
                        </w:p>
                        <w:p w:rsidRPr="00802AB3" w:rsidR="00B87C85" w:rsidP="00802AB3" w:rsidRDefault="005F53EF" w14:paraId="18D71277" w14:textId="558447F2">
                          <w:pPr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611232"/>
                              <w:sz w:val="16"/>
                              <w:szCs w:val="16"/>
                            </w:rPr>
                          </w:pPr>
                          <w:r w:rsidRPr="00802AB3"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611232"/>
                              <w:sz w:val="16"/>
                              <w:szCs w:val="16"/>
                            </w:rPr>
                            <w:t>Alcaldía Iztapalapa, CDMX       Tel: (55) 5090 1100     www.gob.mx/finabien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391FC72E">
              <v:stroke joinstyle="miter"/>
              <v:path gradientshapeok="t" o:connecttype="rect"/>
            </v:shapetype>
            <v:shape id="Cuadro de texto 3" style="position:absolute;margin-left:89.55pt;margin-top:694.65pt;width:583.55pt;height:38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">
              <v:textbox>
                <w:txbxContent>
                  <w:p w:rsidR="00802AB3" w:rsidP="00802AB3" w:rsidRDefault="005F53EF" w14:paraId="4EC8F6EA" w14:textId="77777777">
                    <w:pPr>
                      <w:rPr>
                        <w:rFonts w:ascii="Noto Sans SemiBold" w:hAnsi="Noto Sans SemiBold" w:cs="Noto Sans SemiBold"/>
                        <w:b/>
                        <w:bCs/>
                        <w:color w:val="611232"/>
                        <w:sz w:val="16"/>
                        <w:szCs w:val="16"/>
                      </w:rPr>
                    </w:pPr>
                    <w:r w:rsidRPr="00802AB3">
                      <w:rPr>
                        <w:rFonts w:ascii="Noto Sans SemiBold" w:hAnsi="Noto Sans SemiBold" w:cs="Noto Sans SemiBold"/>
                        <w:b/>
                        <w:bCs/>
                        <w:color w:val="611232"/>
                        <w:sz w:val="16"/>
                        <w:szCs w:val="16"/>
                      </w:rPr>
                      <w:t>Centro TELECOMM I, Av. de las Telecomunicaciones s/n, Col. Leyes de Reforma, CP. 09310,</w:t>
                    </w:r>
                  </w:p>
                  <w:p w:rsidRPr="00802AB3" w:rsidR="00B87C85" w:rsidP="00802AB3" w:rsidRDefault="005F53EF" w14:paraId="18D71277" w14:textId="558447F2">
                    <w:pPr>
                      <w:rPr>
                        <w:rFonts w:ascii="Noto Sans SemiBold" w:hAnsi="Noto Sans SemiBold" w:cs="Noto Sans SemiBold"/>
                        <w:b/>
                        <w:bCs/>
                        <w:color w:val="611232"/>
                        <w:sz w:val="16"/>
                        <w:szCs w:val="16"/>
                      </w:rPr>
                    </w:pPr>
                    <w:r w:rsidRPr="00802AB3">
                      <w:rPr>
                        <w:rFonts w:ascii="Noto Sans SemiBold" w:hAnsi="Noto Sans SemiBold" w:cs="Noto Sans SemiBold"/>
                        <w:b/>
                        <w:bCs/>
                        <w:color w:val="611232"/>
                        <w:sz w:val="16"/>
                        <w:szCs w:val="16"/>
                      </w:rPr>
                      <w:t>Alcaldía Iztapalapa, CDMX       Tel: (55) 5090 1100     www.gob.mx/finabien</w:t>
                    </w:r>
                  </w:p>
                </w:txbxContent>
              </v:textbox>
              <w10:wrap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4908" w:rsidRDefault="00BC4908" w14:paraId="27818C8B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91F03" w:rsidP="00A73D65" w:rsidRDefault="00E91F03" w14:paraId="6536CAFD" w14:textId="77777777">
      <w:r>
        <w:separator/>
      </w:r>
    </w:p>
  </w:footnote>
  <w:footnote w:type="continuationSeparator" w:id="0">
    <w:p w:rsidR="00E91F03" w:rsidP="00A73D65" w:rsidRDefault="00E91F03" w14:paraId="28EC2ED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4908" w:rsidRDefault="00BC4908" w14:paraId="7F9ECC85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A73D65" w:rsidRDefault="00802AB3" w14:paraId="46F1E181" w14:textId="5A8DE759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10F12331" wp14:editId="0A921F52">
          <wp:simplePos x="0" y="0"/>
          <wp:positionH relativeFrom="column">
            <wp:posOffset>-1070406</wp:posOffset>
          </wp:positionH>
          <wp:positionV relativeFrom="page">
            <wp:posOffset>9728</wp:posOffset>
          </wp:positionV>
          <wp:extent cx="7750835" cy="10029600"/>
          <wp:effectExtent l="0" t="0" r="0" b="381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0835" cy="1002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4908" w:rsidRDefault="00BC4908" w14:paraId="59B9067C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7432f7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7713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be32c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298ba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51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797eb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0848a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aaf8f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07d9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7a8a3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mirrorMargins/>
  <w:proofState w:spelling="clean" w:grammar="dirty"/>
  <w:trackRevisions w:val="false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16E"/>
    <w:rsid w:val="00006966"/>
    <w:rsid w:val="00024D17"/>
    <w:rsid w:val="00041843"/>
    <w:rsid w:val="00095778"/>
    <w:rsid w:val="000C250E"/>
    <w:rsid w:val="000E0054"/>
    <w:rsid w:val="000F5DD3"/>
    <w:rsid w:val="0013432B"/>
    <w:rsid w:val="00156A3E"/>
    <w:rsid w:val="00161740"/>
    <w:rsid w:val="00180A38"/>
    <w:rsid w:val="00184325"/>
    <w:rsid w:val="0022614B"/>
    <w:rsid w:val="00256B1D"/>
    <w:rsid w:val="0029542D"/>
    <w:rsid w:val="002E2142"/>
    <w:rsid w:val="0030476A"/>
    <w:rsid w:val="00363222"/>
    <w:rsid w:val="00370465"/>
    <w:rsid w:val="003A5870"/>
    <w:rsid w:val="003D416E"/>
    <w:rsid w:val="003E1335"/>
    <w:rsid w:val="00427F22"/>
    <w:rsid w:val="00477F45"/>
    <w:rsid w:val="004A4C4E"/>
    <w:rsid w:val="004D146C"/>
    <w:rsid w:val="005118A3"/>
    <w:rsid w:val="0057409A"/>
    <w:rsid w:val="005C1A7C"/>
    <w:rsid w:val="005F53EF"/>
    <w:rsid w:val="00626EE3"/>
    <w:rsid w:val="00631824"/>
    <w:rsid w:val="006322C1"/>
    <w:rsid w:val="006C0425"/>
    <w:rsid w:val="006C3B4E"/>
    <w:rsid w:val="006E15E7"/>
    <w:rsid w:val="007421E3"/>
    <w:rsid w:val="0078195E"/>
    <w:rsid w:val="007B74AD"/>
    <w:rsid w:val="007D77D1"/>
    <w:rsid w:val="007E5888"/>
    <w:rsid w:val="00802AB3"/>
    <w:rsid w:val="00831EE7"/>
    <w:rsid w:val="00834146"/>
    <w:rsid w:val="00884A1B"/>
    <w:rsid w:val="009066A7"/>
    <w:rsid w:val="00906FD4"/>
    <w:rsid w:val="00907F1C"/>
    <w:rsid w:val="00932C27"/>
    <w:rsid w:val="00937C98"/>
    <w:rsid w:val="00942415"/>
    <w:rsid w:val="009A1AB3"/>
    <w:rsid w:val="009C12D6"/>
    <w:rsid w:val="009F2BA1"/>
    <w:rsid w:val="00A07674"/>
    <w:rsid w:val="00A301D7"/>
    <w:rsid w:val="00A600EA"/>
    <w:rsid w:val="00A73D65"/>
    <w:rsid w:val="00A83713"/>
    <w:rsid w:val="00B32B3B"/>
    <w:rsid w:val="00B53C2A"/>
    <w:rsid w:val="00B72D65"/>
    <w:rsid w:val="00B87C85"/>
    <w:rsid w:val="00BB21A6"/>
    <w:rsid w:val="00BB2DFF"/>
    <w:rsid w:val="00BC43BD"/>
    <w:rsid w:val="00BC4908"/>
    <w:rsid w:val="00BC7ECE"/>
    <w:rsid w:val="00C02E98"/>
    <w:rsid w:val="00C23B9E"/>
    <w:rsid w:val="00C279A3"/>
    <w:rsid w:val="00C30849"/>
    <w:rsid w:val="00C465FE"/>
    <w:rsid w:val="00C67047"/>
    <w:rsid w:val="00C90CED"/>
    <w:rsid w:val="00CB7D4F"/>
    <w:rsid w:val="00CE3E99"/>
    <w:rsid w:val="00D1354D"/>
    <w:rsid w:val="00D3758B"/>
    <w:rsid w:val="00D84E05"/>
    <w:rsid w:val="00DB53A4"/>
    <w:rsid w:val="00DC3A73"/>
    <w:rsid w:val="00E155A4"/>
    <w:rsid w:val="00E91F03"/>
    <w:rsid w:val="00E93867"/>
    <w:rsid w:val="00EB27BD"/>
    <w:rsid w:val="00EB407F"/>
    <w:rsid w:val="00EB6EE2"/>
    <w:rsid w:val="00EE053F"/>
    <w:rsid w:val="00F1094A"/>
    <w:rsid w:val="00F24915"/>
    <w:rsid w:val="00F401F9"/>
    <w:rsid w:val="00F745B2"/>
    <w:rsid w:val="00F945F2"/>
    <w:rsid w:val="00FD754F"/>
    <w:rsid w:val="00FD75E1"/>
    <w:rsid w:val="00FF06FA"/>
    <w:rsid w:val="00FF6F17"/>
    <w:rsid w:val="0BE6EAA3"/>
    <w:rsid w:val="22556ECF"/>
    <w:rsid w:val="3EFAFE68"/>
    <w:rsid w:val="458B2FB6"/>
    <w:rsid w:val="61FBC91A"/>
    <w:rsid w:val="77B2C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B1EA0C"/>
  <w15:chartTrackingRefBased/>
  <w15:docId w15:val="{0F17CD5A-1E39-D544-8E33-A6309B43A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eastAsiaTheme="minorEastAsia"/>
      <w:lang w:val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73D65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A73D65"/>
    <w:rPr>
      <w:rFonts w:eastAsiaTheme="minorEastAsi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73D65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A73D65"/>
    <w:rPr>
      <w:rFonts w:eastAsiaTheme="minorEastAsia"/>
      <w:lang w:val="es-ES"/>
    </w:rPr>
  </w:style>
  <w:style w:type="paragraph" w:styleId="Heading2">
    <w:uiPriority w:val="9"/>
    <w:name w:val="heading 2"/>
    <w:basedOn w:val="Normal"/>
    <w:next w:val="Normal"/>
    <w:unhideWhenUsed/>
    <w:qFormat/>
    <w:rsid w:val="77B2C8E1"/>
    <w:rPr>
      <w:rFonts w:ascii="Calibri Light" w:hAnsi="Calibri Light" w:cs="" w:asciiTheme="majorAscii" w:hAnsiTheme="majorAscii" w:eastAsiaTheme="majorEastAsia" w:cstheme="majorBidi"/>
      <w:color w:val="2F5496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7B2C8E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footer" Target="footer3.xml" Id="rId11" /><Relationship Type="http://schemas.openxmlformats.org/officeDocument/2006/relationships/endnotes" Target="endnotes.xml" Id="rId5" /><Relationship Type="http://schemas.openxmlformats.org/officeDocument/2006/relationships/header" Target="header3.xml" Id="rId10" /><Relationship Type="http://schemas.openxmlformats.org/officeDocument/2006/relationships/footnotes" Target="footnotes.xml" Id="rId4" /><Relationship Type="http://schemas.openxmlformats.org/officeDocument/2006/relationships/footer" Target="footer2.xml" Id="rId9" /><Relationship Type="http://schemas.openxmlformats.org/officeDocument/2006/relationships/image" Target="/media/image.png" Id="rId1061865747" /><Relationship Type="http://schemas.openxmlformats.org/officeDocument/2006/relationships/numbering" Target="numbering.xml" Id="Re035d89f871f4a0e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Pablo Andrés Silva Páez</dc:creator>
  <keywords/>
  <dc:description/>
  <lastModifiedBy>Rodrigo Cristóbal Paz Jiménez</lastModifiedBy>
  <revision>15</revision>
  <dcterms:created xsi:type="dcterms:W3CDTF">2024-11-07T17:30:00.0000000Z</dcterms:created>
  <dcterms:modified xsi:type="dcterms:W3CDTF">2026-01-02T16:23:39.4427083Z</dcterms:modified>
</coreProperties>
</file>