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3211402D" w:rsidP="3211402D" w:rsidRDefault="3211402D" w14:paraId="0336ECD0" w14:textId="011DA2A3">
      <w:pPr>
        <w:ind w:left="-567" w:right="-660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MX"/>
        </w:rPr>
      </w:pPr>
    </w:p>
    <w:p w:rsidR="6FB86701" w:rsidP="3211402D" w:rsidRDefault="6FB86701" w14:paraId="4EAB724F" w14:textId="30518DC7">
      <w:pPr>
        <w:ind w:left="-567" w:right="-660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MX"/>
        </w:rPr>
      </w:pPr>
      <w:r w:rsidRPr="3211402D" w:rsidR="6FB8670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MX"/>
        </w:rPr>
        <w:t xml:space="preserve">Arquitectura del </w:t>
      </w:r>
      <w:r w:rsidRPr="3211402D" w:rsidR="6FB8670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MX"/>
        </w:rPr>
        <w:t>Backend</w:t>
      </w:r>
      <w:r w:rsidRPr="3211402D" w:rsidR="6FB8670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MX"/>
        </w:rPr>
        <w:t>: Diseño Modular y Lógica de Negocio</w:t>
      </w:r>
      <w:r>
        <w:br/>
      </w:r>
    </w:p>
    <w:p w:rsidR="6FB86701" w:rsidP="3211402D" w:rsidRDefault="6FB86701" w14:paraId="1206075F" w14:textId="0DBBE570">
      <w:pPr>
        <w:spacing w:before="0" w:beforeAutospacing="off" w:after="80" w:afterAutospacing="off"/>
        <w:jc w:val="both"/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1. Módulo de Seguridad y Usuarios</w:t>
      </w:r>
    </w:p>
    <w:p w:rsidR="6FB86701" w:rsidP="3211402D" w:rsidRDefault="6FB86701" w14:paraId="7E1CE80F" w14:textId="74968792">
      <w:pPr>
        <w:spacing w:before="240" w:beforeAutospacing="off" w:after="240" w:afterAutospacing="off"/>
        <w:jc w:val="both"/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Este módulo gestiona la entrada al sistema y garantiza que solo usuarios autorizados accedan a la información.</w:t>
      </w:r>
    </w:p>
    <w:p w:rsidR="6FB86701" w:rsidP="3211402D" w:rsidRDefault="6FB86701" w14:paraId="22F0F99C" w14:textId="706B7012">
      <w:pPr>
        <w:pStyle w:val="ListParagraph"/>
        <w:numPr>
          <w:ilvl w:val="0"/>
          <w:numId w:val="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AuthController (Controlador): Es la puerta de entrada para el Login. Recibe el usuario y contraseña desde el frontend. Se conecta exclusivamente con AuthService para delegar la validación.</w:t>
      </w:r>
    </w:p>
    <w:p w:rsidR="6FB86701" w:rsidP="3211402D" w:rsidRDefault="6FB86701" w14:paraId="26DC02DE" w14:textId="6E4C617A">
      <w:pPr>
        <w:pStyle w:val="ListParagraph"/>
        <w:numPr>
          <w:ilvl w:val="0"/>
          <w:numId w:val="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AuthService (Servicio): Contiene la lógica de seguridad. Recibe las credenciales, las encripta y valida si son correctas.</w:t>
      </w:r>
    </w:p>
    <w:p w:rsidR="6FB86701" w:rsidP="3211402D" w:rsidRDefault="6FB86701" w14:paraId="1288F6B1" w14:textId="6E844BC9">
      <w:pPr>
        <w:pStyle w:val="ListParagraph"/>
        <w:numPr>
          <w:ilvl w:val="0"/>
          <w:numId w:val="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UsuarioRepo (Repositorio): Es consultado por el servicio para verificar en la base de datos si el usuario existe, si su contraseña coincide y si su estatus es "Activo".</w:t>
      </w:r>
    </w:p>
    <w:p w:rsidR="6FB86701" w:rsidP="3211402D" w:rsidRDefault="6FB86701" w14:paraId="56E60C09" w14:textId="02C12466">
      <w:pPr>
        <w:spacing w:before="0" w:beforeAutospacing="off" w:after="80" w:afterAutospacing="off"/>
        <w:jc w:val="both"/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 xml:space="preserve">2. Módulo de Expedientes </w:t>
      </w:r>
    </w:p>
    <w:p w:rsidR="6FB86701" w:rsidP="3211402D" w:rsidRDefault="6FB86701" w14:paraId="5E63CABF" w14:textId="24BFCC7E">
      <w:pPr>
        <w:spacing w:before="240" w:beforeAutospacing="off" w:after="240" w:afterAutospacing="off"/>
        <w:jc w:val="both"/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Este es el flujo principal para la creación y gestión de los juicios.</w:t>
      </w:r>
    </w:p>
    <w:p w:rsidR="6FB86701" w:rsidP="3211402D" w:rsidRDefault="6FB86701" w14:paraId="5EE3DEF4" w14:textId="5577ABCB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ExpedienteController (Controlador): Recibe las solicitudes para crear o editar expedientes.</w:t>
      </w:r>
    </w:p>
    <w:p w:rsidR="6FB86701" w:rsidP="3211402D" w:rsidRDefault="6FB86701" w14:paraId="4B61E9F2" w14:textId="68832A1C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ExpedienteService (Servicio): Ejecuta la lógica central. Al crear un expediente, realiza dos acciones simultáneas:</w:t>
      </w:r>
    </w:p>
    <w:p w:rsidR="6FB86701" w:rsidP="3211402D" w:rsidRDefault="6FB86701" w14:paraId="01560E0C" w14:textId="3038F149">
      <w:pPr>
        <w:pStyle w:val="ListParagraph"/>
        <w:numPr>
          <w:ilvl w:val="1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Genera el folio institucional del caso.</w:t>
      </w:r>
    </w:p>
    <w:p w:rsidR="6FB86701" w:rsidP="3211402D" w:rsidRDefault="6FB86701" w14:paraId="50042B78" w14:textId="012F22FB">
      <w:pPr>
        <w:pStyle w:val="ListParagraph"/>
        <w:numPr>
          <w:ilvl w:val="1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Se conecta con TimelineRepo para registrar automáticamente una auditoría de "Creación de Expediente", garantizando la trazabilidad.</w:t>
      </w:r>
    </w:p>
    <w:p w:rsidR="6FB86701" w:rsidP="3211402D" w:rsidRDefault="6FB86701" w14:paraId="6A346018" w14:textId="0E8005C6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ExpedienteRepo (Repositorio): Almacena la información administrativa del juicio (Juzgado, Actor, Demandado).</w:t>
      </w:r>
    </w:p>
    <w:p w:rsidR="6FB86701" w:rsidP="3211402D" w:rsidRDefault="6FB86701" w14:paraId="58E4C763" w14:textId="2E43F5D2">
      <w:pPr>
        <w:pStyle w:val="Heading2"/>
        <w:spacing w:before="360" w:beforeAutospacing="off" w:after="80" w:afterAutospacing="off"/>
        <w:jc w:val="both"/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3. Módulo de Agenda y Organización Personal</w:t>
      </w:r>
    </w:p>
    <w:p w:rsidR="6FB86701" w:rsidP="3211402D" w:rsidRDefault="6FB86701" w14:paraId="4AD4FC1D" w14:textId="70E57B06">
      <w:pPr>
        <w:spacing w:before="240" w:beforeAutospacing="off" w:after="240" w:afterAutospacing="off"/>
        <w:jc w:val="both"/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Este módulo gestiona el tiempo de los abogados, asegurando que ninguna fecha crítica pase desapercibida.</w:t>
      </w:r>
    </w:p>
    <w:p w:rsidR="6FB86701" w:rsidP="3211402D" w:rsidRDefault="6FB86701" w14:paraId="73297DC7" w14:textId="739CD493">
      <w:pPr>
        <w:pStyle w:val="ListParagraph"/>
        <w:numPr>
          <w:ilvl w:val="0"/>
          <w:numId w:val="3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Controladores Operativos (Audiencia, Termino, Recordatorio): Reciben las fechas capturadas. Cada tipo de evento tiene su propio controlador para permitir validaciones específicas (ej. un Término requiere fecha de vencimiento legal, un Recordatorio es una nota simple).</w:t>
      </w:r>
    </w:p>
    <w:p w:rsidR="6FB86701" w:rsidP="3211402D" w:rsidRDefault="6FB86701" w14:paraId="5F03096D" w14:textId="72F71654">
      <w:pPr>
        <w:pStyle w:val="ListParagraph"/>
        <w:numPr>
          <w:ilvl w:val="0"/>
          <w:numId w:val="3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Servicios de Negocio y Sincronización (Service Layer): Aquí reside la lógica de consistencia de la agenda. AudienciaService y TerminoService tienen una doble responsabilidad al guardar un evento:</w:t>
      </w:r>
    </w:p>
    <w:p w:rsidR="6FB86701" w:rsidP="3211402D" w:rsidRDefault="6FB86701" w14:paraId="4E194776" w14:textId="1FC82F9F">
      <w:pPr>
        <w:pStyle w:val="ListParagraph"/>
        <w:numPr>
          <w:ilvl w:val="1"/>
          <w:numId w:val="3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Persistencia Transaccional: Guardan el detalle completo en su tabla respectiva (AudienciaRepo o TerminoRepo).</w:t>
      </w:r>
    </w:p>
    <w:p w:rsidR="6FB86701" w:rsidP="3211402D" w:rsidRDefault="6FB86701" w14:paraId="1E9319A2" w14:textId="4E390135">
      <w:pPr>
        <w:pStyle w:val="ListParagraph"/>
        <w:numPr>
          <w:ilvl w:val="1"/>
          <w:numId w:val="3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Sincronización Automática: Inmediatamente inyectan un registro resumido en CalendarioRepo.</w:t>
      </w:r>
    </w:p>
    <w:p w:rsidR="6FB86701" w:rsidP="3211402D" w:rsidRDefault="6FB86701" w14:paraId="571E74D4" w14:textId="4E8B02D8">
      <w:pPr>
        <w:pStyle w:val="ListParagraph"/>
        <w:numPr>
          <w:ilvl w:val="0"/>
          <w:numId w:val="3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RecordatorioService (Notas Personales): Gestiona las alertas privadas del usuario. A diferencia de las audiencias, estos datos son flexibles. Este servicio conecta con NotificacionService para programar avisos push antes de la fecha límite.</w:t>
      </w:r>
    </w:p>
    <w:p w:rsidR="6FB86701" w:rsidP="3211402D" w:rsidRDefault="6FB86701" w14:paraId="4F9D6D15" w14:textId="4F471C34">
      <w:pPr>
        <w:pStyle w:val="ListParagraph"/>
        <w:numPr>
          <w:ilvl w:val="0"/>
          <w:numId w:val="3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StorageService (Gestión de Evidencia): Centraliza la manipulación de archivos adjuntos. Si una Audiencia o un Término requieren subir un documento, el servicio delega la carga, validación y almacenamiento a este componente, manteniendo la base de datos ligera.</w:t>
      </w:r>
    </w:p>
    <w:p w:rsidR="6FB86701" w:rsidP="3211402D" w:rsidRDefault="6FB86701" w14:paraId="432B111D" w14:textId="4D76A6BA">
      <w:pPr>
        <w:spacing w:before="0" w:beforeAutospacing="off" w:after="80" w:afterAutospacing="off"/>
        <w:jc w:val="both"/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 xml:space="preserve">4. Módulo de Dashboard </w:t>
      </w:r>
    </w:p>
    <w:p w:rsidR="6FB86701" w:rsidP="3211402D" w:rsidRDefault="6FB86701" w14:paraId="4F404D27" w14:textId="1EAA3413">
      <w:pPr>
        <w:spacing w:before="240" w:beforeAutospacing="off" w:after="240" w:afterAutospacing="off"/>
        <w:jc w:val="both"/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Encargado de mostrar métricas y estadísticas sin afectar la operación diaria.</w:t>
      </w:r>
    </w:p>
    <w:p w:rsidR="6FB86701" w:rsidP="3211402D" w:rsidRDefault="6FB86701" w14:paraId="701AA4DE" w14:textId="5CBA2EAD">
      <w:pPr>
        <w:pStyle w:val="ListParagraph"/>
        <w:numPr>
          <w:ilvl w:val="0"/>
          <w:numId w:val="4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DashboardController: Endpoint de solo lectura utilizado por la pantalla de inicio para mostrar gráficas.</w:t>
      </w:r>
    </w:p>
    <w:p w:rsidR="6FB86701" w:rsidP="3211402D" w:rsidRDefault="6FB86701" w14:paraId="295B42E5" w14:textId="7339D895">
      <w:pPr>
        <w:pStyle w:val="ListParagraph"/>
        <w:numPr>
          <w:ilvl w:val="0"/>
          <w:numId w:val="4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DashboardService: Funciona como un procesador de estadísticas. Se conecta simultáneamente a ExpedienteRepo, AudienciaRepo y TerminoRepo para contar registros y calcular indicadores (KPIs) en tiempo real (ej. "Carga de trabajo por abogado").</w:t>
      </w:r>
    </w:p>
    <w:p w:rsidR="6FB86701" w:rsidP="3211402D" w:rsidRDefault="6FB86701" w14:paraId="4F03983C" w14:textId="0103B71B">
      <w:pPr>
        <w:pStyle w:val="ListParagraph"/>
        <w:numPr>
          <w:ilvl w:val="0"/>
          <w:numId w:val="4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CalendarioController: Se conecta directamente a CalendarioRepo para obtener vistas rápidas de la agenda (semana/mes) sin pasar por validaciones complejas de edición.</w:t>
      </w:r>
    </w:p>
    <w:p w:rsidR="6FB86701" w:rsidP="3211402D" w:rsidRDefault="6FB86701" w14:paraId="3FDB8FE8" w14:textId="1FCA927B">
      <w:pPr>
        <w:spacing w:before="0" w:beforeAutospacing="off" w:after="80" w:afterAutospacing="off"/>
        <w:jc w:val="both"/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 xml:space="preserve">5. Capa de Datos Especializada </w:t>
      </w:r>
    </w:p>
    <w:p w:rsidR="6FB86701" w:rsidP="3211402D" w:rsidRDefault="6FB86701" w14:paraId="5921CC43" w14:textId="7D39EF6A">
      <w:pPr>
        <w:spacing w:before="240" w:beforeAutospacing="off" w:after="240" w:afterAutospacing="off"/>
        <w:jc w:val="both"/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Componentes diseñados para formas específicas de guardar o leer información.</w:t>
      </w:r>
    </w:p>
    <w:p w:rsidR="6FB86701" w:rsidP="3211402D" w:rsidRDefault="6FB86701" w14:paraId="3EEA926C" w14:textId="4F1988CA">
      <w:pPr>
        <w:pStyle w:val="ListParagraph"/>
        <w:numPr>
          <w:ilvl w:val="0"/>
          <w:numId w:val="5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TimelineRepo: Funciona como una bitácora de seguridad. Solo permite insertar nuevos registros de actividad, garantizando un historial inalterable de las acciones de los usuarios.</w:t>
      </w:r>
    </w:p>
    <w:p w:rsidR="6FB86701" w:rsidP="3211402D" w:rsidRDefault="6FB86701" w14:paraId="267DEDBC" w14:textId="69BFF791">
      <w:pPr>
        <w:pStyle w:val="ListParagraph"/>
        <w:numPr>
          <w:ilvl w:val="0"/>
          <w:numId w:val="5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CalendarioRepo</w:t>
      </w:r>
      <w:r w:rsidRPr="3211402D" w:rsidR="6FB8670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: Optimizado para búsquedas por rangos de fechas. Permite consultar rápidamente qué eventos existen en un intervalo de tiempo específico, independientemente de si son audiencias o términos.</w:t>
      </w:r>
    </w:p>
    <w:p w:rsidR="3211402D" w:rsidP="3211402D" w:rsidRDefault="3211402D" w14:paraId="46306C69" w14:textId="1D2F9194">
      <w:pPr>
        <w:pStyle w:val="Normal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</w:p>
    <w:p w:rsidR="3211402D" w:rsidP="2B271541" w:rsidRDefault="3211402D" w14:paraId="5FB48B8C" w14:textId="7F45891B">
      <w:pPr>
        <w:pStyle w:val="Normal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="2B271541">
        <w:drawing>
          <wp:anchor distT="0" distB="0" distL="114300" distR="114300" simplePos="0" relativeHeight="251658240" behindDoc="0" locked="0" layoutInCell="1" allowOverlap="1" wp14:editId="1A8D85E6" wp14:anchorId="7AE6EE94">
            <wp:simplePos x="0" y="0"/>
            <wp:positionH relativeFrom="column">
              <wp:posOffset>-171450</wp:posOffset>
            </wp:positionH>
            <wp:positionV relativeFrom="paragraph">
              <wp:posOffset>209550</wp:posOffset>
            </wp:positionV>
            <wp:extent cx="6156179" cy="1625631"/>
            <wp:effectExtent l="0" t="0" r="0" b="0"/>
            <wp:wrapNone/>
            <wp:docPr id="1250461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461586" name="Picture 1250461586"/>
                    <pic:cNvPicPr/>
                  </pic:nvPicPr>
                  <pic:blipFill>
                    <a:blip xmlns:r="http://schemas.openxmlformats.org/officeDocument/2006/relationships" r:embed="rId1522175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31708" r="0" b="31708"/>
                  </pic:blipFill>
                  <pic:spPr>
                    <a:xfrm rot="0">
                      <a:off x="0" y="0"/>
                      <a:ext cx="6156179" cy="1625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211402D" w:rsidP="3211402D" w:rsidRDefault="3211402D" w14:paraId="60FC835E" w14:textId="66DC150A">
      <w:pPr>
        <w:pStyle w:val="Normal"/>
        <w:ind w:left="-567" w:right="-660"/>
        <w:jc w:val="both"/>
      </w:pPr>
    </w:p>
    <w:sectPr w:rsidRPr="00802AB3" w:rsidR="00802AB3" w:rsidSect="00802A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portrait"/>
      <w:pgMar w:top="2574" w:right="1701" w:bottom="1418" w:left="1701" w:header="709" w:footer="1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1F03" w:rsidP="00A73D65" w:rsidRDefault="00E91F03" w14:paraId="58601780" w14:textId="77777777">
      <w:r>
        <w:separator/>
      </w:r>
    </w:p>
  </w:endnote>
  <w:endnote w:type="continuationSeparator" w:id="0">
    <w:p w:rsidR="00E91F03" w:rsidP="00A73D65" w:rsidRDefault="00E91F03" w14:paraId="359EA3A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SemiBold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BD55795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A73D65" w:rsidRDefault="00B87C85" w14:paraId="3DC91D03" w14:textId="0DEC30F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1FC72E" wp14:editId="581A37A5">
              <wp:simplePos x="0" y="0"/>
              <wp:positionH relativeFrom="column">
                <wp:posOffset>1137285</wp:posOffset>
              </wp:positionH>
              <wp:positionV relativeFrom="page">
                <wp:posOffset>8821852</wp:posOffset>
              </wp:positionV>
              <wp:extent cx="7411085" cy="487680"/>
              <wp:effectExtent l="0" t="0" r="0" b="0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1108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02AB3" w:rsidP="00802AB3" w:rsidRDefault="005F53EF" w14:paraId="4EC8F6EA" w14:textId="77777777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Centro TELECOMM I, Av. de las Telecomunicaciones s/n, Col. Leyes de Reforma, CP. 09310,</w:t>
                          </w:r>
                        </w:p>
                        <w:p w:rsidRPr="00802AB3" w:rsidR="00B87C85" w:rsidP="00802AB3" w:rsidRDefault="005F53EF" w14:paraId="18D71277" w14:textId="558447F2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Alcaldía Iztapalapa, CDMX       Tel: (55) 5090 1100     www.gob.mx/finabien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91FC72E">
              <v:stroke joinstyle="miter"/>
              <v:path gradientshapeok="t" o:connecttype="rect"/>
            </v:shapetype>
            <v:shape id="Cuadro de texto 3" style="position:absolute;margin-left:89.55pt;margin-top:694.65pt;width:583.55pt;height:3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">
              <v:textbox>
                <w:txbxContent>
                  <w:p w:rsidR="00802AB3" w:rsidP="00802AB3" w:rsidRDefault="005F53EF" w14:paraId="4EC8F6EA" w14:textId="77777777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Centro TELECOMM I, Av. de las Telecomunicaciones s/n, Col. Leyes de Reforma, CP. 09310,</w:t>
                    </w:r>
                  </w:p>
                  <w:p w:rsidRPr="00802AB3" w:rsidR="00B87C85" w:rsidP="00802AB3" w:rsidRDefault="005F53EF" w14:paraId="18D71277" w14:textId="558447F2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Alcaldía Iztapalapa, CDMX       Tel: (55) 5090 1100     www.gob.mx/finabien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27818C8B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1F03" w:rsidP="00A73D65" w:rsidRDefault="00E91F03" w14:paraId="6536CAFD" w14:textId="77777777">
      <w:r>
        <w:separator/>
      </w:r>
    </w:p>
  </w:footnote>
  <w:footnote w:type="continuationSeparator" w:id="0">
    <w:p w:rsidR="00E91F03" w:rsidP="00A73D65" w:rsidRDefault="00E91F03" w14:paraId="28EC2ED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F9ECC85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73D65" w:rsidRDefault="00802AB3" w14:paraId="46F1E181" w14:textId="5A8DE759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0F12331" wp14:editId="0A921F52">
          <wp:simplePos x="0" y="0"/>
          <wp:positionH relativeFrom="column">
            <wp:posOffset>-1070406</wp:posOffset>
          </wp:positionH>
          <wp:positionV relativeFrom="page">
            <wp:posOffset>9728</wp:posOffset>
          </wp:positionV>
          <wp:extent cx="7750835" cy="10029600"/>
          <wp:effectExtent l="0" t="0" r="0" b="381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0835" cy="1002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59B9067C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77d0e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9b2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49c0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72cc9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772a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irrorMargins/>
  <w:proofState w:spelling="clean" w:grammar="dirty"/>
  <w:trackRevisions w:val="false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6E"/>
    <w:rsid w:val="00006966"/>
    <w:rsid w:val="00024D17"/>
    <w:rsid w:val="00041843"/>
    <w:rsid w:val="00095778"/>
    <w:rsid w:val="000C250E"/>
    <w:rsid w:val="000E0054"/>
    <w:rsid w:val="000F5DD3"/>
    <w:rsid w:val="0013432B"/>
    <w:rsid w:val="00156A3E"/>
    <w:rsid w:val="00161740"/>
    <w:rsid w:val="00180A38"/>
    <w:rsid w:val="00184325"/>
    <w:rsid w:val="0022614B"/>
    <w:rsid w:val="00256B1D"/>
    <w:rsid w:val="0029542D"/>
    <w:rsid w:val="002E2142"/>
    <w:rsid w:val="0030476A"/>
    <w:rsid w:val="00363222"/>
    <w:rsid w:val="00370465"/>
    <w:rsid w:val="003A5870"/>
    <w:rsid w:val="003D416E"/>
    <w:rsid w:val="003E1335"/>
    <w:rsid w:val="00427F22"/>
    <w:rsid w:val="00477F45"/>
    <w:rsid w:val="004A4C4E"/>
    <w:rsid w:val="004D146C"/>
    <w:rsid w:val="005118A3"/>
    <w:rsid w:val="0057409A"/>
    <w:rsid w:val="005C1A7C"/>
    <w:rsid w:val="005F53EF"/>
    <w:rsid w:val="00626EE3"/>
    <w:rsid w:val="00631824"/>
    <w:rsid w:val="006322C1"/>
    <w:rsid w:val="006C0425"/>
    <w:rsid w:val="006C3B4E"/>
    <w:rsid w:val="006E15E7"/>
    <w:rsid w:val="007421E3"/>
    <w:rsid w:val="0078195E"/>
    <w:rsid w:val="007B74AD"/>
    <w:rsid w:val="007D77D1"/>
    <w:rsid w:val="007E5888"/>
    <w:rsid w:val="00802AB3"/>
    <w:rsid w:val="00831EE7"/>
    <w:rsid w:val="00834146"/>
    <w:rsid w:val="00884A1B"/>
    <w:rsid w:val="009066A7"/>
    <w:rsid w:val="00906FD4"/>
    <w:rsid w:val="00907F1C"/>
    <w:rsid w:val="00932C27"/>
    <w:rsid w:val="00937C98"/>
    <w:rsid w:val="00942415"/>
    <w:rsid w:val="009A1AB3"/>
    <w:rsid w:val="009C12D6"/>
    <w:rsid w:val="009F2BA1"/>
    <w:rsid w:val="00A07674"/>
    <w:rsid w:val="00A301D7"/>
    <w:rsid w:val="00A600EA"/>
    <w:rsid w:val="00A73D65"/>
    <w:rsid w:val="00A83713"/>
    <w:rsid w:val="00B32B3B"/>
    <w:rsid w:val="00B53C2A"/>
    <w:rsid w:val="00B72D65"/>
    <w:rsid w:val="00B87C85"/>
    <w:rsid w:val="00BB21A6"/>
    <w:rsid w:val="00BB2DFF"/>
    <w:rsid w:val="00BC43BD"/>
    <w:rsid w:val="00BC4908"/>
    <w:rsid w:val="00BC7ECE"/>
    <w:rsid w:val="00C02E98"/>
    <w:rsid w:val="00C23B9E"/>
    <w:rsid w:val="00C279A3"/>
    <w:rsid w:val="00C30849"/>
    <w:rsid w:val="00C465FE"/>
    <w:rsid w:val="00C67047"/>
    <w:rsid w:val="00C90CED"/>
    <w:rsid w:val="00CB7D4F"/>
    <w:rsid w:val="00CE3E99"/>
    <w:rsid w:val="00D1354D"/>
    <w:rsid w:val="00D3758B"/>
    <w:rsid w:val="00D84E05"/>
    <w:rsid w:val="00DB53A4"/>
    <w:rsid w:val="00DC3A73"/>
    <w:rsid w:val="00E155A4"/>
    <w:rsid w:val="00E91F03"/>
    <w:rsid w:val="00E93867"/>
    <w:rsid w:val="00EB27BD"/>
    <w:rsid w:val="00EB407F"/>
    <w:rsid w:val="00EB6EE2"/>
    <w:rsid w:val="00EE053F"/>
    <w:rsid w:val="00F1094A"/>
    <w:rsid w:val="00F24915"/>
    <w:rsid w:val="00F401F9"/>
    <w:rsid w:val="00F745B2"/>
    <w:rsid w:val="00F945F2"/>
    <w:rsid w:val="00FD754F"/>
    <w:rsid w:val="00FD75E1"/>
    <w:rsid w:val="00FF06FA"/>
    <w:rsid w:val="00FF6F17"/>
    <w:rsid w:val="2B271541"/>
    <w:rsid w:val="3211402D"/>
    <w:rsid w:val="5F00A2AC"/>
    <w:rsid w:val="63B02D97"/>
    <w:rsid w:val="6FB8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1EA0C"/>
  <w15:chartTrackingRefBased/>
  <w15:docId w15:val="{0F17CD5A-1E39-D544-8E33-A6309B43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Heading2">
    <w:uiPriority w:val="9"/>
    <w:name w:val="heading 2"/>
    <w:basedOn w:val="Normal"/>
    <w:next w:val="Normal"/>
    <w:unhideWhenUsed/>
    <w:qFormat/>
    <w:rsid w:val="3211402D"/>
    <w:rPr>
      <w:rFonts w:ascii="Calibri Light" w:hAnsi="Calibri Light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211402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image" Target="/media/image.png" Id="rId1522175400" /><Relationship Type="http://schemas.openxmlformats.org/officeDocument/2006/relationships/numbering" Target="numbering.xml" Id="Rb975c2a671354542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Pablo Andrés Silva Páez</dc:creator>
  <keywords/>
  <dc:description/>
  <lastModifiedBy>Rodrigo Cristóbal Paz Jiménez</lastModifiedBy>
  <revision>14</revision>
  <dcterms:created xsi:type="dcterms:W3CDTF">2024-11-07T17:30:00.0000000Z</dcterms:created>
  <dcterms:modified xsi:type="dcterms:W3CDTF">2026-01-02T16:13:39.8065925Z</dcterms:modified>
</coreProperties>
</file>