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ATIVIDADE DE AVALIAÇÃO - MODELAGEM PREDITIVA</w:t>
      </w:r>
    </w:p>
    <w:p>
      <w:pPr>
        <w:jc w:val="center"/>
      </w:pPr>
      <w:r>
        <w:rPr>
          <w:rFonts w:ascii="Arial" w:hAnsi="Arial"/>
          <w:sz w:val="24"/>
        </w:rPr>
        <w:t>Previsão de Retorno para Revisão - Concessionária Honda</w:t>
      </w:r>
    </w:p>
    <w:p/>
    <w:p>
      <w:r>
        <w:rPr>
          <w:rFonts w:ascii="Arial" w:hAnsi="Arial"/>
          <w:b/>
          <w:sz w:val="24"/>
        </w:rPr>
        <w:t>GRUPO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Arial" w:hAnsi="Arial"/>
                <w:b/>
                <w:sz w:val="20"/>
              </w:rPr>
              <w:t>Nome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b/>
                <w:sz w:val="20"/>
              </w:rPr>
              <w:t>Matrícula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João Victor Fortunato Teixeira Mundim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813190/2026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Martinho Aloisio Lenz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812869/2026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Nicolas Henrique Richardt da Silva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813138/2026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Renato Vargas Monteiro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812872/2026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Rodrigo Pimentel Carneiro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812440/2026</w:t>
            </w:r>
          </w:p>
        </w:tc>
      </w:tr>
    </w:tbl>
    <w:p/>
    <w:p>
      <w:r>
        <w:rPr>
          <w:rFonts w:ascii="Arial" w:hAnsi="Arial"/>
          <w:b/>
          <w:sz w:val="24"/>
        </w:rPr>
        <w:t>1. ENUNCIADO DO PROBLEMA</w:t>
      </w:r>
    </w:p>
    <w:p>
      <w:pPr>
        <w:spacing w:after="120" w:line="276" w:lineRule="auto"/>
      </w:pPr>
      <w:r>
        <w:rPr>
          <w:rFonts w:ascii="Arial" w:hAnsi="Arial"/>
          <w:b/>
          <w:sz w:val="24"/>
        </w:rPr>
        <w:t>Contexto de Negócio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Previsão de retorno de clientes para revisão programada em concessionária Honda. A revisão gera receita de serviços/peças e fortalece o relacionamento com o cliente.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Pergunta de negócio: Quais clientes têm maior probabilidade de NÃO retornar para revisão?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Família de Modelagem: Classificação binária (Classe 0 = Não retornou, Classe 1 = Retornou)</w:t>
      </w:r>
    </w:p>
    <w:p>
      <w:pPr>
        <w:spacing w:after="120" w:line="276" w:lineRule="auto"/>
      </w:pPr>
      <w:r>
        <w:rPr>
          <w:rFonts w:ascii="Arial" w:hAnsi="Arial"/>
          <w:b/>
          <w:sz w:val="24"/>
        </w:rPr>
        <w:t>Dataset Utilizado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Arial" w:hAnsi="Arial"/>
                <w:b/>
                <w:sz w:val="20"/>
              </w:rPr>
              <w:t>Característica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b/>
                <w:sz w:val="20"/>
              </w:rPr>
              <w:t>Valor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Fonte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Dados reais da concessionária (anonimizados)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Registros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10.467 vendas de motocicletas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Período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Janeiro a Dezembro de 2025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Variáveis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16 (15 preditoras + 1 alvo)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Distribuição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73,9% Não Retornou / 26,1% Retornou</w:t>
            </w:r>
          </w:p>
        </w:tc>
      </w:tr>
    </w:tbl>
    <w:p/>
    <w:p>
      <w:r>
        <w:rPr>
          <w:rFonts w:ascii="Arial" w:hAnsi="Arial"/>
          <w:b/>
          <w:sz w:val="24"/>
        </w:rPr>
        <w:t>2. ENGENHARIA DE VARIÁVEIS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Variáveis utilizadas: 5 categóricas (MOTO_MODELO, MOTO_FAMILIA, COR, FINANCEIRA_RESUMIDA, ONDE_MOTO_VENDIDA) e 10 numéricas (ANO_MODELO, PRECO_TABELA, VALOR_VENDIDO, DESCONTO_INCONDICIONAL, PERC_DESCONTO, TEM_FINANCIAMENTO, MESES, PARCELA, TEM_KIT, TEM_VOUCHER).</w:t>
      </w:r>
    </w:p>
    <w:p>
      <w:pPr>
        <w:spacing w:after="120" w:line="276" w:lineRule="auto"/>
      </w:pPr>
      <w:r>
        <w:rPr>
          <w:rFonts w:ascii="Arial" w:hAnsi="Arial"/>
          <w:b/>
          <w:sz w:val="24"/>
        </w:rPr>
        <w:t>Tratamento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Arial" w:hAnsi="Arial"/>
                <w:b/>
                <w:sz w:val="20"/>
              </w:rPr>
              <w:t>Técnica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b/>
                <w:sz w:val="20"/>
              </w:rPr>
              <w:t>Aplicação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Valores ausentes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Preenchidos com 0 ou 'SEM_FINANCIAMENTO'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Simplificação de cores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46 cores agrupadas em 7 categorias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Variável derivada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PERC_DESCONTO = desconto / preço_tabela × 100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Label Encoding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Para modelos de árvore (fit apenas no treino)</w:t>
            </w:r>
          </w:p>
        </w:tc>
      </w:tr>
      <w:tr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One-Hot + Scaler</w:t>
            </w:r>
          </w:p>
        </w:tc>
        <w:tc>
          <w:tcPr>
            <w:tcW w:type="dxa" w:w="4419"/>
          </w:tcPr>
          <w:p>
            <w:r>
              <w:rPr>
                <w:rFonts w:ascii="Arial" w:hAnsi="Arial"/>
                <w:sz w:val="20"/>
              </w:rPr>
              <w:t>Para Regressão Logística (fit apenas no treino)</w:t>
            </w:r>
          </w:p>
        </w:tc>
      </w:tr>
    </w:tbl>
    <w:p/>
    <w:p>
      <w:r>
        <w:rPr>
          <w:rFonts w:ascii="Arial" w:hAnsi="Arial"/>
          <w:b/>
          <w:sz w:val="24"/>
        </w:rPr>
        <w:t>3. MODELAGENS EXECUTADAS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b/>
                <w:sz w:val="20"/>
              </w:rPr>
              <w:t>Tipo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b/>
                <w:sz w:val="20"/>
              </w:rPr>
              <w:t>Critério</w:t>
            </w:r>
          </w:p>
        </w:tc>
      </w:tr>
      <w:tr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Árvore de Decisão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CART com Entropia</w:t>
            </w:r>
          </w:p>
        </w:tc>
      </w:tr>
      <w:tr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Regressão Logística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L2 (Ridge)</w:t>
            </w:r>
          </w:p>
        </w:tc>
      </w:tr>
      <w:tr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Random Forest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Ensemble (Bagging)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Entropia</w:t>
            </w:r>
          </w:p>
        </w:tc>
      </w:tr>
      <w:tr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Gradient Boosting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Ensemble (Boosting)</w:t>
            </w:r>
          </w:p>
        </w:tc>
        <w:tc>
          <w:tcPr>
            <w:tcW w:type="dxa" w:w="2209"/>
          </w:tcPr>
          <w:p>
            <w:r>
              <w:rPr>
                <w:rFonts w:ascii="Arial" w:hAnsi="Arial"/>
                <w:sz w:val="20"/>
              </w:rPr>
              <w:t>Deviance</w:t>
            </w:r>
          </w:p>
        </w:tc>
      </w:tr>
    </w:tbl>
    <w:p/>
    <w:p>
      <w:pPr>
        <w:spacing w:after="120" w:line="276" w:lineRule="auto"/>
      </w:pPr>
      <w:r>
        <w:rPr>
          <w:rFonts w:ascii="Arial" w:hAnsi="Arial"/>
          <w:b w:val="0"/>
          <w:sz w:val="24"/>
        </w:rPr>
        <w:t>Particionamento: 80% treino (8.373) / 20% teste (2.094). Validação: 5-fold CV no treino com shuffle.</w:t>
      </w:r>
    </w:p>
    <w:p>
      <w:r>
        <w:rPr>
          <w:rFonts w:ascii="Arial" w:hAnsi="Arial"/>
          <w:b/>
          <w:sz w:val="24"/>
        </w:rPr>
        <w:t>4. CONFIGURAÇÃO DOS MODELOS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Árvore: criterion=entropy, max_depth=5, min_samples_split=20, min_samples_leaf=10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Regressão Logística: penalty=l2, C=1.0, solver=lbfgs, max_iter=1000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Random Forest: n_estimators=100, criterion=entropy, max_depth=10, max_features=sqrt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Gradient Boosting: n_estimators=100, learning_rate=0.1, max_depth=3, subsample=0.8</w:t>
      </w:r>
    </w:p>
    <w:p>
      <w:r>
        <w:rPr>
          <w:rFonts w:ascii="Arial" w:hAnsi="Arial"/>
          <w:b/>
          <w:sz w:val="24"/>
        </w:rPr>
        <w:t>5. RESULTADOS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Baseline (sempre prever classe 0): 73,93%</w:t>
      </w:r>
    </w:p>
    <w:p>
      <w:pPr>
        <w:spacing w:after="120" w:line="276" w:lineRule="auto"/>
      </w:pPr>
      <w:r>
        <w:rPr>
          <w:rFonts w:ascii="Arial" w:hAnsi="Arial"/>
          <w:b/>
          <w:sz w:val="24"/>
        </w:rPr>
        <w:t>Quadro Comparativo de Desempenho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b/>
                <w:sz w:val="20"/>
              </w:rPr>
              <w:t>Acurácia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b/>
                <w:sz w:val="20"/>
              </w:rPr>
              <w:t>AUC-ROC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b/>
                <w:sz w:val="20"/>
              </w:rPr>
              <w:t>Prec(1)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b/>
                <w:sz w:val="20"/>
              </w:rPr>
              <w:t>Rec(1)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b/>
                <w:sz w:val="20"/>
              </w:rPr>
              <w:t>F1(1)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b/>
                <w:sz w:val="20"/>
              </w:rPr>
              <w:t>CV Treino</w:t>
            </w:r>
          </w:p>
        </w:tc>
      </w:tr>
      <w:tr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Regressão Logística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76,84%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0,8072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58,18%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39,74%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47,23%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75,68%±0,61%</w:t>
            </w:r>
          </w:p>
        </w:tc>
      </w:tr>
      <w:tr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Random Forest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76,79%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0,8071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61,19%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30,04%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40,29%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75,41%±0,36%</w:t>
            </w:r>
          </w:p>
        </w:tc>
      </w:tr>
      <w:tr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Gradient Boosting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76,27%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0,8062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57,40%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34,80%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43,33%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75,58%±0,56%</w:t>
            </w:r>
          </w:p>
        </w:tc>
      </w:tr>
      <w:tr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Árvore de Decisão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74,98%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0,7546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53,96%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27,47%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36,41%</w:t>
            </w:r>
          </w:p>
        </w:tc>
        <w:tc>
          <w:tcPr>
            <w:tcW w:type="dxa" w:w="1263"/>
          </w:tcPr>
          <w:p>
            <w:r>
              <w:rPr>
                <w:rFonts w:ascii="Arial" w:hAnsi="Arial"/>
                <w:sz w:val="20"/>
              </w:rPr>
              <w:t>74,55%±0,94%</w:t>
            </w:r>
          </w:p>
        </w:tc>
      </w:tr>
    </w:tbl>
    <w:p/>
    <w:p>
      <w:pPr>
        <w:spacing w:after="120" w:line="276" w:lineRule="auto"/>
      </w:pPr>
      <w:r>
        <w:rPr>
          <w:rFonts w:ascii="Arial" w:hAnsi="Arial"/>
          <w:b w:val="0"/>
          <w:sz w:val="24"/>
        </w:rPr>
        <w:t>Nota: Recall(1) = proporção de clientes que RETORNARAM corretamente identificados.</w:t>
      </w:r>
    </w:p>
    <w:p>
      <w:pPr>
        <w:spacing w:after="120" w:line="276" w:lineRule="auto"/>
      </w:pPr>
      <w:r>
        <w:rPr>
          <w:rFonts w:ascii="Arial" w:hAnsi="Arial"/>
          <w:b/>
          <w:sz w:val="24"/>
        </w:rPr>
        <w:t>Features Mais Importantes (Random Forest)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Arial" w:hAnsi="Arial"/>
                <w:b/>
                <w:sz w:val="20"/>
              </w:rPr>
              <w:t>Ranking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b/>
                <w:sz w:val="20"/>
              </w:rPr>
              <w:t>Variável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b/>
                <w:sz w:val="20"/>
              </w:rPr>
              <w:t>Importância</w:t>
            </w:r>
          </w:p>
        </w:tc>
      </w:tr>
      <w:tr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1°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DESCONTO_INCONDICIONAL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0,1156</w:t>
            </w:r>
          </w:p>
        </w:tc>
      </w:tr>
      <w:tr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2°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VALOR_VENDIDO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0,1005</w:t>
            </w:r>
          </w:p>
        </w:tc>
      </w:tr>
      <w:tr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3°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PRECO_TABELA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0,0933</w:t>
            </w:r>
          </w:p>
        </w:tc>
      </w:tr>
      <w:tr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4°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PERC_DESCONTO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0,0915</w:t>
            </w:r>
          </w:p>
        </w:tc>
      </w:tr>
      <w:tr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5°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PARCELA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0,0791</w:t>
            </w:r>
          </w:p>
        </w:tc>
      </w:tr>
    </w:tbl>
    <w:p/>
    <w:p>
      <w:pPr>
        <w:spacing w:after="120" w:line="276" w:lineRule="auto"/>
      </w:pPr>
      <w:r>
        <w:rPr>
          <w:rFonts w:ascii="Arial" w:hAnsi="Arial"/>
          <w:b/>
          <w:sz w:val="24"/>
        </w:rPr>
        <w:t>Insights de Negócio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• Financiados: retorno 40,85% vs 15,39% sem financiamento (diferença de 25 p.p.)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• Kit de acessórios: retorno 45,31% vs 17,22%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• Por loja: Recanto (39,75%) e Valparaíso (37,58%) melhores; Gama (19,26%) menor taxa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Nota: associações observadas, não relação causal demonstrada.</w:t>
      </w:r>
    </w:p>
    <w:p>
      <w:r>
        <w:rPr>
          <w:rFonts w:ascii="Arial" w:hAnsi="Arial"/>
          <w:b/>
          <w:sz w:val="24"/>
        </w:rPr>
        <w:t>6. RESUMO FINAL E ROTEIRO PARA PRODUÇÃO</w:t>
      </w:r>
    </w:p>
    <w:p>
      <w:pPr>
        <w:spacing w:after="120" w:line="276" w:lineRule="auto"/>
      </w:pPr>
      <w:r>
        <w:rPr>
          <w:rFonts w:ascii="Arial" w:hAnsi="Arial"/>
          <w:b/>
          <w:sz w:val="24"/>
        </w:rPr>
        <w:t>Modelo Recomendado: Regressão Logística (AUC-ROC = 0,8072)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Os modelos superam o baseline em ~3 p.p. A diferença entre os três melhores é pequena (&lt;0,001 AUC).</w:t>
      </w:r>
    </w:p>
    <w:p>
      <w:pPr>
        <w:spacing w:after="120" w:line="276" w:lineRule="auto"/>
      </w:pPr>
      <w:r>
        <w:rPr>
          <w:rFonts w:ascii="Arial" w:hAnsi="Arial"/>
          <w:b/>
          <w:sz w:val="24"/>
        </w:rPr>
        <w:t>Roteiro de Produção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1. Entrada: Dados da venda no faturamento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2. Pré-processamento: One-Hot + Scaler (transformadores do treino)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3. Predição: Probabilidade de retorno (0-100%)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4. Risco de não retorno: 100% - probabilidade de retorno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Arial" w:hAnsi="Arial"/>
                <w:b/>
                <w:sz w:val="20"/>
              </w:rPr>
              <w:t>Prob. Retorno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b/>
                <w:sz w:val="20"/>
              </w:rPr>
              <w:t>Risco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b/>
                <w:sz w:val="20"/>
              </w:rPr>
              <w:t>Ação Recomendada</w:t>
            </w:r>
          </w:p>
        </w:tc>
      </w:tr>
      <w:tr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&lt; 25%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ALTO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Contato imediato, oferta de desconto</w:t>
            </w:r>
          </w:p>
        </w:tc>
      </w:tr>
      <w:tr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25% - 40%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MÉDIO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Lembrete reforçado (WhatsApp + ligação)</w:t>
            </w:r>
          </w:p>
        </w:tc>
      </w:tr>
      <w:tr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&gt; 40%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BAIXO</w:t>
            </w:r>
          </w:p>
        </w:tc>
        <w:tc>
          <w:tcPr>
            <w:tcW w:type="dxa" w:w="2946"/>
          </w:tcPr>
          <w:p>
            <w:r>
              <w:rPr>
                <w:rFonts w:ascii="Arial" w:hAnsi="Arial"/>
                <w:sz w:val="20"/>
              </w:rPr>
              <w:t>Lembrete padrão por SMS</w:t>
            </w:r>
          </w:p>
        </w:tc>
      </w:tr>
    </w:tbl>
    <w:p/>
    <w:p>
      <w:pPr>
        <w:spacing w:after="120" w:line="276" w:lineRule="auto"/>
      </w:pPr>
      <w:r>
        <w:rPr>
          <w:rFonts w:ascii="Arial" w:hAnsi="Arial"/>
          <w:b/>
          <w:sz w:val="24"/>
        </w:rPr>
        <w:t>Limitações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• Dados de um período específico (2025)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• Janela de observação do alvo não documentada</w:t>
      </w:r>
    </w:p>
    <w:p>
      <w:pPr>
        <w:spacing w:after="120" w:line="276" w:lineRule="auto"/>
      </w:pPr>
      <w:r>
        <w:rPr>
          <w:rFonts w:ascii="Arial" w:hAnsi="Arial"/>
          <w:b w:val="0"/>
          <w:sz w:val="24"/>
        </w:rPr>
        <w:t>• Recomenda-se validação com piloto controlado</w:t>
      </w:r>
    </w:p>
    <w:p/>
    <w:p>
      <w:r>
        <w:rPr>
          <w:rFonts w:ascii="Arial" w:hAnsi="Arial"/>
          <w:i/>
          <w:sz w:val="20"/>
        </w:rPr>
        <w:t>Documento elaborado com auxílio de ferramentas de IA. Decisões de modelagem conduzidas pelo grupo.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