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Usuários e Outros Stakeholders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100.0" w:type="pct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2805"/>
        <w:gridCol w:w="6795"/>
        <w:tblGridChange w:id="0">
          <w:tblGrid>
            <w:gridCol w:w="2805"/>
            <w:gridCol w:w="6795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Dono da 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Usará o novo sistema, para: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Gestão de clientes, produtos e pedidos;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Ind w:w="100.0" w:type="pct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2805"/>
        <w:gridCol w:w="6795"/>
        <w:tblGridChange w:id="0">
          <w:tblGrid>
            <w:gridCol w:w="2805"/>
            <w:gridCol w:w="6795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Outros Stakeholders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a9CIWA7/TbI5acQJMq1yqecYzQ==">AMUW2mUAC3Ixp3Q16UpGaiT08evujSbVv0sooImillM2cGk1xFgh2qrde9B+rYUCwZwZ7ZlebWLdpoBCTobh6HLy6sAhW/aYRBZiTZK82TbNViAxVbSixOMWmrAR2ahSihSLMoyvTRU3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