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Testes de hipóteses por bairro</w:t>
      </w:r>
    </w:p>
    <w:p>
      <w:pPr>
        <w:pStyle w:val="Normal"/>
        <w:bidi w:val="0"/>
        <w:jc w:val="start"/>
        <w:rPr/>
      </w:pPr>
      <w:r>
        <w:rPr/>
        <w:tab/>
        <w:t>Verificar se os preços dos apartamentos de até 60 m2 são maiores que os apartamentos  de 60 metros</w:t>
      </w:r>
    </w:p>
    <w:p>
      <w:pPr>
        <w:pStyle w:val="Normal"/>
        <w:bidi w:val="0"/>
        <w:jc w:val="start"/>
        <w:rPr/>
      </w:pPr>
      <w:r>
        <w:rPr/>
        <w:t xml:space="preserve">m1 = média de preços para quartos menores ou iguais que 60 m2 </w:t>
      </w:r>
    </w:p>
    <w:p>
      <w:pPr>
        <w:pStyle w:val="Normal"/>
        <w:bidi w:val="0"/>
        <w:jc w:val="start"/>
        <w:rPr/>
      </w:pPr>
      <w:r>
        <w:rPr/>
        <w:t>m2 = média de preços para quartos maiores que 60 m2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H0: m1  &lt;=   m2 → Hipótese nula</w:t>
      </w:r>
    </w:p>
    <w:p>
      <w:pPr>
        <w:pStyle w:val="Normal"/>
        <w:bidi w:val="0"/>
        <w:jc w:val="start"/>
        <w:rPr/>
      </w:pPr>
      <w:r>
        <w:rPr/>
        <w:t>Ha: m1 &gt; m2→ Hipótese Alternativa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Caudal a direita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Cortes </w:t>
      </w:r>
    </w:p>
    <w:p>
      <w:pPr>
        <w:pStyle w:val="Normal"/>
        <w:bidi w:val="0"/>
        <w:jc w:val="start"/>
        <w:rPr/>
      </w:pPr>
      <w:r>
        <w:rPr/>
        <w:tab/>
        <w:t>quarto &lt;= 3</w:t>
      </w:r>
    </w:p>
    <w:p>
      <w:pPr>
        <w:pStyle w:val="Normal"/>
        <w:bidi w:val="0"/>
        <w:jc w:val="start"/>
        <w:rPr/>
      </w:pPr>
      <w:r>
        <w:rPr/>
        <w:tab/>
        <w:tab/>
        <w:t xml:space="preserve">Testar se o preço os imóveis com três quartos é maior que os 1 e 2 quartos, </w:t>
        <w:br/>
        <w:tab/>
      </w:r>
      <w:r>
        <w:rPr/>
        <w:t xml:space="preserve">Bairros: </w:t>
      </w:r>
    </w:p>
    <w:tbl>
      <w:tblPr>
        <w:tblW w:w="8496" w:type="dxa"/>
        <w:jc w:val="start"/>
        <w:tblInd w:w="36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95"/>
        <w:gridCol w:w="825"/>
        <w:gridCol w:w="1815"/>
        <w:gridCol w:w="1440"/>
        <w:gridCol w:w="1485"/>
        <w:gridCol w:w="1236"/>
      </w:tblGrid>
      <w:tr>
        <w:trPr>
          <w:tblHeader w:val="true"/>
        </w:trPr>
        <w:tc>
          <w:tcPr>
            <w:tcW w:w="1695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>Bonfim Paulista</w:t>
              <w:br/>
              <w:t>Campos Eliseos</w:t>
            </w:r>
          </w:p>
        </w:tc>
        <w:tc>
          <w:tcPr>
            <w:tcW w:w="825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>Centro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>Jardim Botânico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>Jardim Irajá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>Nova Aliança</w:t>
            </w:r>
          </w:p>
        </w:tc>
        <w:tc>
          <w:tcPr>
            <w:tcW w:w="1236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>Ribeirânia</w:t>
            </w:r>
          </w:p>
        </w:tc>
      </w:tr>
    </w:tbl>
    <w:p>
      <w:pPr>
        <w:pStyle w:val="Normal"/>
        <w:bidi w:val="0"/>
        <w:jc w:val="start"/>
        <w:rPr/>
      </w:pPr>
      <w:r>
        <w:rPr/>
        <w:tab/>
      </w:r>
      <w:r>
        <w:rPr/>
        <w:t>M1 = média dos imóveis com três quartos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m2 = média dos imóveis com 1 e 2 quartos</w:t>
      </w:r>
    </w:p>
    <w:p>
      <w:pPr>
        <w:pStyle w:val="Normal"/>
        <w:bidi w:val="0"/>
        <w:jc w:val="start"/>
        <w:rPr/>
      </w:pPr>
      <w:r>
        <w:rPr/>
        <w:t>H0: m1 &lt;= m2</w:t>
      </w:r>
    </w:p>
    <w:p>
      <w:pPr>
        <w:pStyle w:val="Normal"/>
        <w:bidi w:val="0"/>
        <w:jc w:val="start"/>
        <w:rPr/>
      </w:pPr>
      <w:r>
        <w:rPr/>
        <w:t>H1: m1 &gt; m2</w:t>
      </w: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banheiros &lt;= 2</w:t>
      </w:r>
    </w:p>
    <w:p>
      <w:pPr>
        <w:pStyle w:val="Normal"/>
        <w:bidi w:val="0"/>
        <w:jc w:val="start"/>
        <w:rPr/>
      </w:pPr>
      <w:r>
        <w:rPr/>
        <w:tab/>
        <w:tab/>
        <w:t>Testar se o preço os imóveis com dois banheiros é maior que dos imóveis com um banheiro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m1 = Média de preço de um imóvel para um banheiro </w:t>
      </w:r>
    </w:p>
    <w:p>
      <w:pPr>
        <w:pStyle w:val="Normal"/>
        <w:bidi w:val="0"/>
        <w:jc w:val="start"/>
        <w:rPr/>
      </w:pPr>
      <w:r>
        <w:rPr/>
        <w:t xml:space="preserve">m2 = media de e preço de um imóvel com dois banheiros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H0 M2 &lt;= M1</w:t>
      </w:r>
    </w:p>
    <w:p>
      <w:pPr>
        <w:pStyle w:val="Normal"/>
        <w:bidi w:val="0"/>
        <w:jc w:val="start"/>
        <w:rPr/>
      </w:pPr>
      <w:r>
        <w:rPr/>
        <w:t>H1 M2 &gt; M1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Quarto e banheiro</w:t>
      </w:r>
    </w:p>
    <w:p>
      <w:pPr>
        <w:pStyle w:val="Normal"/>
        <w:bidi w:val="0"/>
        <w:jc w:val="start"/>
        <w:rPr/>
      </w:pPr>
      <w:r>
        <w:rPr/>
        <w:tab/>
        <w:tab/>
        <w:t>testar se o preço dos imóveis com 3 quartos e dois bainheiros é maior que 3 quartos e 1 banheiro</w:t>
      </w:r>
    </w:p>
    <w:p>
      <w:pPr>
        <w:pStyle w:val="Normal"/>
        <w:bidi w:val="0"/>
        <w:jc w:val="start"/>
        <w:rPr/>
      </w:pPr>
      <w:r>
        <w:rPr/>
        <w:tab/>
        <w:t>testar se o preço dos imóveis com 2 quartos e dois bainheiros é maior que 2 quartos e 1 banheiro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Entre bairros </w:t>
      </w:r>
    </w:p>
    <w:p>
      <w:pPr>
        <w:pStyle w:val="Normal"/>
        <w:bidi w:val="0"/>
        <w:jc w:val="start"/>
        <w:rPr/>
      </w:pPr>
      <w:r>
        <w:rPr/>
        <w:tab/>
        <w:t>Testar se o preço dos imóveis dos bairros de Sumarezinho  e maior que os imóveis dos bairros da Vila Monte Alegre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m1 = média dos bairros de  </w:t>
      </w:r>
      <w:r>
        <w:rPr/>
        <w:t>Sumarezinho</w:t>
      </w:r>
    </w:p>
    <w:p>
      <w:pPr>
        <w:pStyle w:val="Normal"/>
        <w:bidi w:val="0"/>
        <w:jc w:val="start"/>
        <w:rPr/>
      </w:pPr>
      <w:r>
        <w:rPr/>
        <w:t xml:space="preserve">m2 = média dos bairros de  </w:t>
      </w:r>
      <w:r>
        <w:rPr/>
        <w:t>Vila Monte Alegre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H0: M1 &lt;= m2</w:t>
      </w:r>
    </w:p>
    <w:p>
      <w:pPr>
        <w:pStyle w:val="Normal"/>
        <w:bidi w:val="0"/>
        <w:jc w:val="start"/>
        <w:rPr/>
      </w:pPr>
      <w:r>
        <w:rPr/>
        <w:t>H1:  M1 &gt; m2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bookmarkStart w:id="0" w:name="tabela"/>
      <w:bookmarkStart w:id="1" w:name="tabela"/>
      <w:bookmarkEnd w:id="1"/>
    </w:p>
    <w:tbl>
      <w:tblPr>
        <w:tblW w:w="9638" w:type="dxa"/>
        <w:jc w:val="start"/>
        <w:tblInd w:w="0" w:type="dxa"/>
        <w:shd w:fill="181A1B" w:val="clear"/>
        <w:tblLayout w:type="fixed"/>
        <w:tblCellMar>
          <w:top w:w="75" w:type="dxa"/>
          <w:start w:w="75" w:type="dxa"/>
          <w:bottom w:w="75" w:type="dxa"/>
          <w:end w:w="75" w:type="dxa"/>
        </w:tblCellMar>
      </w:tblPr>
      <w:tblGrid>
        <w:gridCol w:w="1895"/>
        <w:gridCol w:w="7743"/>
      </w:tblGrid>
      <w:tr>
        <w:trPr/>
        <w:tc>
          <w:tcPr>
            <w:tcW w:w="1895" w:type="dxa"/>
            <w:tcBorders>
              <w:top w:val="single" w:sz="2" w:space="0" w:color="C0C0C0"/>
              <w:start w:val="single" w:sz="2" w:space="0" w:color="C0C0C0"/>
              <w:bottom w:val="single" w:sz="2" w:space="0" w:color="C0C0C0"/>
              <w:end w:val="single" w:sz="2" w:space="0" w:color="C0C0C0"/>
            </w:tcBorders>
            <w:shd w:fill="181A1B" w:val="clear"/>
            <w:vAlign w:val="center"/>
          </w:tcPr>
          <w:p>
            <w:pPr>
              <w:pStyle w:val="Contedodatabela"/>
              <w:spacing w:before="0" w:after="0"/>
              <w:ind w:hanging="0" w:start="0" w:end="0"/>
              <w:rPr/>
            </w:pPr>
            <w:r>
              <w:rPr/>
              <w:t> </w:t>
            </w:r>
            <w:r>
              <w:rPr>
                <w:rFonts w:ascii="Droid Sans Mono;monospace;monospace" w:hAnsi="Droid Sans Mono;monospace;monospace"/>
                <w:color w:val="EEFFFF"/>
              </w:rPr>
              <w:t>Jardim Botânico</w:t>
            </w:r>
          </w:p>
        </w:tc>
        <w:tc>
          <w:tcPr>
            <w:tcW w:w="7743" w:type="dxa"/>
            <w:tcBorders>
              <w:top w:val="single" w:sz="2" w:space="0" w:color="C0C0C0"/>
              <w:start w:val="single" w:sz="2" w:space="0" w:color="C0C0C0"/>
              <w:bottom w:val="single" w:sz="2" w:space="0" w:color="C0C0C0"/>
              <w:end w:val="single" w:sz="2" w:space="0" w:color="C0C0C0"/>
            </w:tcBorders>
            <w:shd w:fill="181A1B" w:val="clear"/>
            <w:vAlign w:val="center"/>
          </w:tcPr>
          <w:p>
            <w:pPr>
              <w:pStyle w:val="Contedodatabela"/>
              <w:spacing w:before="0" w:after="0"/>
              <w:ind w:hanging="0" w:start="0" w:end="0"/>
              <w:rPr/>
            </w:pPr>
            <w:r>
              <w:rPr/>
              <w:t> </w:t>
            </w:r>
            <w:r>
              <w:rPr>
                <w:rFonts w:ascii="Droid Sans Mono;monospace;monospace" w:hAnsi="Droid Sans Mono;monospace;monospace"/>
                <w:color w:val="EEFFFF"/>
              </w:rPr>
              <w:t xml:space="preserve">Aceitamos a hipótese nula: não há evidências suficientes para afirmar que os preços dos apartamentos de até 60 m² são maiores. </w:t>
            </w:r>
          </w:p>
        </w:tc>
      </w:tr>
      <w:tr>
        <w:trPr/>
        <w:tc>
          <w:tcPr>
            <w:tcW w:w="1895" w:type="dxa"/>
            <w:tcBorders>
              <w:top w:val="single" w:sz="2" w:space="0" w:color="C0C0C0"/>
              <w:start w:val="single" w:sz="2" w:space="0" w:color="C0C0C0"/>
              <w:bottom w:val="single" w:sz="2" w:space="0" w:color="C0C0C0"/>
              <w:end w:val="single" w:sz="2" w:space="0" w:color="C0C0C0"/>
            </w:tcBorders>
            <w:shd w:fill="181A1B" w:val="clear"/>
            <w:vAlign w:val="center"/>
          </w:tcPr>
          <w:p>
            <w:pPr>
              <w:pStyle w:val="Contedodatabela"/>
              <w:spacing w:before="0" w:after="0"/>
              <w:ind w:hanging="0" w:start="0" w:end="0"/>
              <w:rPr/>
            </w:pPr>
            <w:r>
              <w:rPr/>
              <w:t> </w:t>
            </w:r>
            <w:r>
              <w:rPr>
                <w:rFonts w:ascii="Droid Sans Mono;monospace;monospace" w:hAnsi="Droid Sans Mono;monospace;monospace"/>
                <w:color w:val="EEFFFF"/>
              </w:rPr>
              <w:t>Centro</w:t>
            </w:r>
          </w:p>
        </w:tc>
        <w:tc>
          <w:tcPr>
            <w:tcW w:w="7743" w:type="dxa"/>
            <w:tcBorders>
              <w:top w:val="single" w:sz="2" w:space="0" w:color="C0C0C0"/>
              <w:start w:val="single" w:sz="2" w:space="0" w:color="C0C0C0"/>
              <w:bottom w:val="single" w:sz="2" w:space="0" w:color="C0C0C0"/>
              <w:end w:val="single" w:sz="2" w:space="0" w:color="C0C0C0"/>
            </w:tcBorders>
            <w:shd w:fill="181A1B" w:val="clear"/>
            <w:vAlign w:val="center"/>
          </w:tcPr>
          <w:p>
            <w:pPr>
              <w:pStyle w:val="Contedodatabela"/>
              <w:spacing w:before="0" w:after="0"/>
              <w:ind w:hanging="0" w:start="0" w:end="0"/>
              <w:rPr/>
            </w:pPr>
            <w:r>
              <w:rPr/>
              <w:t> </w:t>
            </w:r>
            <w:r>
              <w:rPr>
                <w:rFonts w:ascii="Droid Sans Mono;monospace;monospace" w:hAnsi="Droid Sans Mono;monospace;monospace"/>
                <w:color w:val="EEFFFF"/>
              </w:rPr>
              <w:t xml:space="preserve">Aceitamos a hipótese nula: não há evidências suficientes para afirmar que os preços dos apartamentos de até 60 m² são maiores. </w:t>
            </w:r>
          </w:p>
        </w:tc>
      </w:tr>
      <w:tr>
        <w:trPr/>
        <w:tc>
          <w:tcPr>
            <w:tcW w:w="1895" w:type="dxa"/>
            <w:tcBorders>
              <w:top w:val="single" w:sz="2" w:space="0" w:color="C0C0C0"/>
              <w:start w:val="single" w:sz="2" w:space="0" w:color="C0C0C0"/>
              <w:bottom w:val="single" w:sz="2" w:space="0" w:color="C0C0C0"/>
              <w:end w:val="single" w:sz="2" w:space="0" w:color="C0C0C0"/>
            </w:tcBorders>
            <w:shd w:fill="181A1B" w:val="clear"/>
            <w:vAlign w:val="center"/>
          </w:tcPr>
          <w:p>
            <w:pPr>
              <w:pStyle w:val="Contedodatabela"/>
              <w:spacing w:before="0" w:after="0"/>
              <w:ind w:hanging="0" w:start="0" w:end="0"/>
              <w:rPr/>
            </w:pPr>
            <w:r>
              <w:rPr/>
              <w:t> </w:t>
            </w:r>
            <w:r>
              <w:rPr>
                <w:rFonts w:ascii="Droid Sans Mono;monospace;monospace" w:hAnsi="Droid Sans Mono;monospace;monospace"/>
                <w:color w:val="EEFFFF"/>
              </w:rPr>
              <w:t>Nova Aliança</w:t>
            </w:r>
          </w:p>
        </w:tc>
        <w:tc>
          <w:tcPr>
            <w:tcW w:w="7743" w:type="dxa"/>
            <w:tcBorders>
              <w:top w:val="single" w:sz="2" w:space="0" w:color="C0C0C0"/>
              <w:start w:val="single" w:sz="2" w:space="0" w:color="C0C0C0"/>
              <w:bottom w:val="single" w:sz="2" w:space="0" w:color="C0C0C0"/>
              <w:end w:val="single" w:sz="2" w:space="0" w:color="C0C0C0"/>
            </w:tcBorders>
            <w:shd w:fill="181A1B" w:val="clear"/>
            <w:vAlign w:val="center"/>
          </w:tcPr>
          <w:p>
            <w:pPr>
              <w:pStyle w:val="Contedodatabela"/>
              <w:spacing w:before="0" w:after="0"/>
              <w:ind w:hanging="0" w:start="0" w:end="0"/>
              <w:rPr/>
            </w:pPr>
            <w:r>
              <w:rPr/>
              <w:t> </w:t>
            </w:r>
            <w:r>
              <w:rPr>
                <w:rFonts w:ascii="Droid Sans Mono;monospace;monospace" w:hAnsi="Droid Sans Mono;monospace;monospace"/>
                <w:color w:val="EEFFFF"/>
              </w:rPr>
              <w:t xml:space="preserve">Aceitamos a hipótese nula: não há evidências suficientes para afirmar que os preços dos apartamentos de até 60 m² são maiores. </w:t>
            </w:r>
          </w:p>
        </w:tc>
      </w:tr>
      <w:tr>
        <w:trPr/>
        <w:tc>
          <w:tcPr>
            <w:tcW w:w="1895" w:type="dxa"/>
            <w:tcBorders>
              <w:top w:val="single" w:sz="2" w:space="0" w:color="C0C0C0"/>
              <w:start w:val="single" w:sz="2" w:space="0" w:color="C0C0C0"/>
              <w:bottom w:val="single" w:sz="2" w:space="0" w:color="C0C0C0"/>
              <w:end w:val="single" w:sz="2" w:space="0" w:color="C0C0C0"/>
            </w:tcBorders>
            <w:shd w:fill="181A1B" w:val="clear"/>
            <w:vAlign w:val="center"/>
          </w:tcPr>
          <w:p>
            <w:pPr>
              <w:pStyle w:val="Contedodatabela"/>
              <w:spacing w:before="0" w:after="0"/>
              <w:ind w:hanging="0" w:start="0" w:end="0"/>
              <w:rPr/>
            </w:pPr>
            <w:r>
              <w:rPr/>
              <w:t> </w:t>
            </w:r>
            <w:r>
              <w:rPr>
                <w:rFonts w:ascii="Droid Sans Mono;monospace;monospace" w:hAnsi="Droid Sans Mono;monospace;monospace"/>
                <w:color w:val="EEFFFF"/>
              </w:rPr>
              <w:t>Jardim Irajá</w:t>
            </w:r>
          </w:p>
        </w:tc>
        <w:tc>
          <w:tcPr>
            <w:tcW w:w="7743" w:type="dxa"/>
            <w:tcBorders>
              <w:top w:val="single" w:sz="2" w:space="0" w:color="C0C0C0"/>
              <w:start w:val="single" w:sz="2" w:space="0" w:color="C0C0C0"/>
              <w:bottom w:val="single" w:sz="2" w:space="0" w:color="C0C0C0"/>
              <w:end w:val="single" w:sz="2" w:space="0" w:color="C0C0C0"/>
            </w:tcBorders>
            <w:shd w:fill="181A1B" w:val="clear"/>
            <w:vAlign w:val="center"/>
          </w:tcPr>
          <w:p>
            <w:pPr>
              <w:pStyle w:val="Contedodatabela"/>
              <w:spacing w:before="0" w:after="0"/>
              <w:ind w:hanging="0" w:start="0" w:end="0"/>
              <w:rPr/>
            </w:pPr>
            <w:r>
              <w:rPr/>
              <w:t> </w:t>
            </w:r>
            <w:r>
              <w:rPr>
                <w:rFonts w:ascii="Droid Sans Mono;monospace;monospace" w:hAnsi="Droid Sans Mono;monospace;monospace"/>
                <w:color w:val="EEFFFF"/>
              </w:rPr>
              <w:t xml:space="preserve">Aceitamos a hipótese nula: não há evidências suficientes para afirmar que os preços dos apartamentos de até 60 m² são maiores. </w:t>
            </w:r>
          </w:p>
        </w:tc>
      </w:tr>
      <w:tr>
        <w:trPr/>
        <w:tc>
          <w:tcPr>
            <w:tcW w:w="18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</w:tcBorders>
            <w:shd w:fill="181A1B" w:val="clear"/>
            <w:vAlign w:val="center"/>
          </w:tcPr>
          <w:p>
            <w:pPr>
              <w:pStyle w:val="Contedodatabela"/>
              <w:spacing w:before="0" w:after="0"/>
              <w:ind w:hanging="0" w:start="0" w:end="0"/>
              <w:rPr/>
            </w:pPr>
            <w:r>
              <w:rPr/>
              <w:t> </w:t>
            </w:r>
            <w:r>
              <w:rPr>
                <w:rFonts w:ascii="Droid Sans Mono;monospace;monospace" w:hAnsi="Droid Sans Mono;monospace;monospace"/>
                <w:color w:val="EEFFFF"/>
              </w:rPr>
              <w:t>Sumarezinho</w:t>
            </w:r>
          </w:p>
        </w:tc>
        <w:tc>
          <w:tcPr>
            <w:tcW w:w="774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</w:tcBorders>
            <w:shd w:fill="181A1B" w:val="clear"/>
            <w:vAlign w:val="center"/>
          </w:tcPr>
          <w:p>
            <w:pPr>
              <w:pStyle w:val="Contedodatabela"/>
              <w:spacing w:before="0" w:after="0"/>
              <w:ind w:hanging="0" w:start="0" w:end="0"/>
              <w:rPr/>
            </w:pPr>
            <w:r>
              <w:rPr/>
              <w:t> </w:t>
            </w:r>
            <w:r>
              <w:rPr>
                <w:rFonts w:ascii="Droid Sans Mono;monospace;monospace" w:hAnsi="Droid Sans Mono;monospace;monospace"/>
                <w:color w:val="EEFFFF"/>
              </w:rPr>
              <w:t xml:space="preserve">Aceitamos a hipótese nula: não há evidências suficientes para afirmar que os preços dos apartamentos de até 60 m² são maiores. </w:t>
            </w:r>
          </w:p>
        </w:tc>
      </w:tr>
      <w:tr>
        <w:trPr/>
        <w:tc>
          <w:tcPr>
            <w:tcW w:w="18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</w:tcBorders>
            <w:shd w:fill="181A1B" w:val="clear"/>
            <w:vAlign w:val="center"/>
          </w:tcPr>
          <w:p>
            <w:pPr>
              <w:pStyle w:val="Contedodatabela"/>
              <w:spacing w:before="0" w:after="0"/>
              <w:ind w:hanging="0" w:start="0" w:end="0"/>
              <w:rPr/>
            </w:pPr>
            <w:r>
              <w:rPr/>
              <w:t> </w:t>
            </w:r>
            <w:r>
              <w:rPr>
                <w:rFonts w:ascii="Droid Sans Mono;monospace;monospace" w:hAnsi="Droid Sans Mono;monospace;monospace"/>
                <w:color w:val="EEFFFF"/>
              </w:rPr>
              <w:t>Vila Monte Alegre</w:t>
            </w:r>
          </w:p>
        </w:tc>
        <w:tc>
          <w:tcPr>
            <w:tcW w:w="774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</w:tcBorders>
            <w:shd w:fill="181A1B" w:val="clear"/>
            <w:vAlign w:val="center"/>
          </w:tcPr>
          <w:p>
            <w:pPr>
              <w:pStyle w:val="Contedodatabela"/>
              <w:spacing w:before="0" w:after="0"/>
              <w:ind w:hanging="0" w:start="0" w:end="0"/>
              <w:rPr/>
            </w:pPr>
            <w:r>
              <w:rPr/>
              <w:t> </w:t>
            </w:r>
            <w:r>
              <w:rPr>
                <w:rFonts w:ascii="Droid Sans Mono;monospace;monospace" w:hAnsi="Droid Sans Mono;monospace;monospace"/>
                <w:color w:val="EEFFFF"/>
              </w:rPr>
              <w:t xml:space="preserve">Aceitamos a hipótese nula: não há evidências suficientes para afirmar que os preços dos apartamentos de até 60 m² são maiores. </w:t>
            </w:r>
          </w:p>
        </w:tc>
      </w:tr>
      <w:tr>
        <w:trPr/>
        <w:tc>
          <w:tcPr>
            <w:tcW w:w="18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</w:tcBorders>
            <w:shd w:fill="181A1B" w:val="clear"/>
            <w:vAlign w:val="center"/>
          </w:tcPr>
          <w:p>
            <w:pPr>
              <w:pStyle w:val="Contedodatabela"/>
              <w:spacing w:before="0" w:after="0"/>
              <w:ind w:hanging="0" w:start="0" w:end="0"/>
              <w:rPr/>
            </w:pPr>
            <w:r>
              <w:rPr/>
              <w:t> </w:t>
            </w:r>
            <w:r>
              <w:rPr>
                <w:rFonts w:ascii="Droid Sans Mono;monospace;monospace" w:hAnsi="Droid Sans Mono;monospace;monospace"/>
                <w:color w:val="EEFFFF"/>
              </w:rPr>
              <w:t>Bonfim Paulista</w:t>
            </w:r>
          </w:p>
        </w:tc>
        <w:tc>
          <w:tcPr>
            <w:tcW w:w="774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</w:tcBorders>
            <w:shd w:fill="181A1B" w:val="clear"/>
            <w:vAlign w:val="center"/>
          </w:tcPr>
          <w:p>
            <w:pPr>
              <w:pStyle w:val="Contedodatabela"/>
              <w:spacing w:before="0" w:after="0"/>
              <w:ind w:hanging="0" w:start="0" w:end="0"/>
              <w:rPr/>
            </w:pPr>
            <w:r>
              <w:rPr/>
              <w:t> </w:t>
            </w:r>
            <w:r>
              <w:rPr>
                <w:rFonts w:ascii="Droid Sans Mono;monospace;monospace" w:hAnsi="Droid Sans Mono;monospace;monospace"/>
                <w:color w:val="EEFFFF"/>
              </w:rPr>
              <w:t xml:space="preserve">Aceitamos a hipótese nula: não há evidências suficientes para afirmar que os preços dos apartamentos de até 60 m² são maiores. </w:t>
            </w:r>
          </w:p>
        </w:tc>
      </w:tr>
      <w:tr>
        <w:trPr/>
        <w:tc>
          <w:tcPr>
            <w:tcW w:w="18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</w:tcBorders>
            <w:shd w:fill="181A1B" w:val="clear"/>
            <w:vAlign w:val="center"/>
          </w:tcPr>
          <w:p>
            <w:pPr>
              <w:pStyle w:val="Contedodatabela"/>
              <w:spacing w:before="0" w:after="0"/>
              <w:ind w:hanging="0" w:start="0" w:end="0"/>
              <w:rPr/>
            </w:pPr>
            <w:r>
              <w:rPr/>
              <w:t> </w:t>
            </w:r>
            <w:r>
              <w:rPr>
                <w:rFonts w:ascii="Droid Sans Mono;monospace;monospace" w:hAnsi="Droid Sans Mono;monospace;monospace"/>
                <w:color w:val="EEFFFF"/>
              </w:rPr>
              <w:t>Ribeirânia</w:t>
            </w:r>
          </w:p>
        </w:tc>
        <w:tc>
          <w:tcPr>
            <w:tcW w:w="774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</w:tcBorders>
            <w:shd w:fill="181A1B" w:val="clear"/>
            <w:vAlign w:val="center"/>
          </w:tcPr>
          <w:p>
            <w:pPr>
              <w:pStyle w:val="Contedodatabela"/>
              <w:spacing w:before="0" w:after="0"/>
              <w:ind w:hanging="0" w:start="0" w:end="0"/>
              <w:rPr/>
            </w:pPr>
            <w:r>
              <w:rPr/>
              <w:t> </w:t>
            </w:r>
            <w:r>
              <w:rPr>
                <w:rFonts w:ascii="Droid Sans Mono;monospace;monospace" w:hAnsi="Droid Sans Mono;monospace;monospace"/>
                <w:color w:val="EEFFFF"/>
              </w:rPr>
              <w:t xml:space="preserve">Aceitamos a hipótese nula: não há evidências suficientes para afirmar que os preços dos apartamentos de até 60 m² são maiores. </w:t>
            </w:r>
          </w:p>
        </w:tc>
      </w:tr>
      <w:tr>
        <w:trPr/>
        <w:tc>
          <w:tcPr>
            <w:tcW w:w="18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</w:tcBorders>
            <w:shd w:fill="181A1B" w:val="clear"/>
            <w:vAlign w:val="center"/>
          </w:tcPr>
          <w:p>
            <w:pPr>
              <w:pStyle w:val="Contedodatabela"/>
              <w:spacing w:before="0" w:after="0"/>
              <w:ind w:hanging="0" w:start="0" w:end="0"/>
              <w:rPr/>
            </w:pPr>
            <w:r>
              <w:rPr/>
              <w:t> </w:t>
            </w:r>
            <w:r>
              <w:rPr>
                <w:rFonts w:ascii="Droid Sans Mono;monospace;monospace" w:hAnsi="Droid Sans Mono;monospace;monospace"/>
                <w:color w:val="EEFFFF"/>
              </w:rPr>
              <w:t>Campos Eliseos</w:t>
            </w:r>
          </w:p>
        </w:tc>
        <w:tc>
          <w:tcPr>
            <w:tcW w:w="774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</w:tcBorders>
            <w:shd w:fill="181A1B" w:val="clear"/>
            <w:vAlign w:val="center"/>
          </w:tcPr>
          <w:p>
            <w:pPr>
              <w:pStyle w:val="Contedodatabela"/>
              <w:spacing w:before="0" w:after="0"/>
              <w:ind w:hanging="0" w:start="0" w:end="0"/>
              <w:rPr/>
            </w:pPr>
            <w:r>
              <w:rPr/>
              <w:t> </w:t>
            </w:r>
            <w:r>
              <w:rPr>
                <w:rFonts w:ascii="Droid Sans Mono;monospace;monospace" w:hAnsi="Droid Sans Mono;monospace;monospace"/>
                <w:color w:val="EEFFFF"/>
              </w:rPr>
              <w:t>Aceitamos a hipótese nula: não há evidências suficientes para afirmar que os preços dos apartamentos de até 60 m² são maiores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urce Han Sans CN" w:cs="Noto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LibreOffice/24.2.5.2$Linux_X86_64 LibreOffice_project/420$Build-2</Application>
  <AppVersion>15.0000</AppVersion>
  <Pages>2</Pages>
  <Words>479</Words>
  <Characters>2097</Characters>
  <CharactersWithSpaces>2570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2024-07-27T19:06:37Z</dcterms:created>
  <dc:creator/>
  <dc:description/>
  <dc:language>pt-BR</dc:language>
  <cp:lastModifiedBy/>
  <dcterms:modified xsi:type="dcterms:W3CDTF">2024-07-28T18:49:27Z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