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CMR / IMPLEMENTACIÓN ERP</w:t>
      </w:r>
    </w:p>
    <w:p>
      <w:pPr>
        <w:pStyle w:val="Title"/>
      </w:pPr>
      <w:r>
        <w:t>Minuta de seguimiento</w:t>
        <w:br/>
        <w:t>y propuesta de actualización</w:t>
      </w:r>
    </w:p>
    <w:p>
      <w:pPr>
        <w:pStyle w:val="Subtitle"/>
      </w:pPr>
      <w:r>
        <w:t>Reunión 3 | 30 de octubre de 2026</w:t>
      </w:r>
    </w:p>
    <w:p>
      <w:pPr>
        <w:pStyle w:val="Heading2"/>
      </w:pPr>
      <w:r>
        <w:t>Para revisión y autorización</w:t>
      </w:r>
    </w:p>
    <w:p>
      <w:r>
        <w:t>Proyecto Odoo: implementacion erp CRM | ID 51.</w:t>
        <w:br/>
        <w:t>Duración de la sesión: 1 h 43 min 34 s. Corte de consulta: 30/10/2026.</w:t>
      </w:r>
    </w:p>
    <w:p>
      <w:r>
        <w:rPr>
          <w:b/>
        </w:rPr>
        <w:t>Participantes registrados:</w:t>
      </w:r>
      <w:r>
        <w:t xml:space="preserve"> Mónica López y Arlex Cardona (CMR); Marco Rodríguez, Rodrigo Romero Corvera y Jorge Sevilla (CiLi). Rafael y Pablo se mencionan como responsables del proceso, no como participantes de esta sesión.</w:t>
      </w:r>
    </w:p>
    <w:p>
      <w:pPr>
        <w:pStyle w:val="Heading1"/>
      </w:pPr>
      <w:r>
        <w:t>Resultado del cruce con la reunión 2</w:t>
      </w:r>
    </w:p>
    <w:p>
      <w:r>
        <w:t>La captura técnica y la demostración comercial avanzaron. El flujo a Ingeniería, las reglas definitivas, la presentación de cotizaciones, los permisos y el correo aún requieren trabajo. La demostración no equivale a la aceptación integral del CRM.</w:t>
      </w:r>
    </w:p>
    <w:tbl>
      <w:tblPr>
        <w:tblW w:type="auto" w:w="0"/>
        <w:jc w:val="center"/>
        <w:tblLayout w:type="fixed"/>
        <w:tblLook w:firstColumn="1" w:firstRow="1" w:lastColumn="0" w:lastRow="0" w:noHBand="0" w:noVBand="1" w:val="04A0"/>
        <w:tblBorders>
          <w:top w:val="nil"/>
          <w:left w:val="nil"/>
          <w:bottom w:val="nil"/>
          <w:right w:val="nil"/>
          <w:insideV w:val="nil"/>
          <w:insideH w:val="single" w:sz="3" w:color="D6E1E4"/>
        </w:tblBorders>
      </w:tblPr>
      <w:tblGrid>
        <w:gridCol w:w="2880"/>
        <w:gridCol w:w="1296"/>
        <w:gridCol w:w="6048"/>
      </w:tblGrid>
      <w:tr>
        <w:trPr>
          <w:cantSplit/>
          <w:tblHeader/>
        </w:trPr>
        <w:tc>
          <w:tcPr>
            <w:tcW w:type="dxa" w:w="2880"/>
            <w:vAlign w:val="center"/>
            <w:tcMar>
              <w:top w:w="90" w:type="dxa"/>
              <w:left w:w="90" w:type="dxa"/>
              <w:bottom w:w="90" w:type="dxa"/>
              <w:right w:w="90" w:type="dxa"/>
            </w:tcMar>
            <w:shd w:fill="153D4A"/>
          </w:tcPr>
          <w:p>
            <w:pPr>
              <w:spacing w:after="40" w:before="20" w:line="242" w:lineRule="auto"/>
            </w:pPr>
            <w:r>
              <w:rPr>
                <w:b/>
                <w:color w:val="FFFFFF"/>
                <w:sz w:val="22"/>
              </w:rPr>
              <w:t>Tratamiento propuesto</w:t>
            </w:r>
          </w:p>
        </w:tc>
        <w:tc>
          <w:tcPr>
            <w:tcW w:type="dxa" w:w="1296"/>
            <w:vAlign w:val="center"/>
            <w:tcMar>
              <w:top w:w="90" w:type="dxa"/>
              <w:left w:w="90" w:type="dxa"/>
              <w:bottom w:w="90" w:type="dxa"/>
              <w:right w:w="90" w:type="dxa"/>
            </w:tcMar>
            <w:shd w:fill="153D4A"/>
          </w:tcPr>
          <w:p>
            <w:pPr>
              <w:spacing w:after="40" w:before="20" w:line="242" w:lineRule="auto"/>
            </w:pPr>
            <w:r>
              <w:rPr>
                <w:b/>
                <w:color w:val="FFFFFF"/>
                <w:sz w:val="22"/>
              </w:rPr>
              <w:t>Cantidad</w:t>
            </w:r>
          </w:p>
        </w:tc>
        <w:tc>
          <w:tcPr>
            <w:tcW w:type="dxa" w:w="6048"/>
            <w:vAlign w:val="center"/>
            <w:tcMar>
              <w:top w:w="90" w:type="dxa"/>
              <w:left w:w="90" w:type="dxa"/>
              <w:bottom w:w="90" w:type="dxa"/>
              <w:right w:w="90" w:type="dxa"/>
            </w:tcMar>
            <w:shd w:fill="153D4A"/>
          </w:tcPr>
          <w:p>
            <w:pPr>
              <w:spacing w:after="40" w:before="20" w:line="242" w:lineRule="auto"/>
            </w:pPr>
            <w:r>
              <w:rPr>
                <w:b/>
                <w:color w:val="FFFFFF"/>
                <w:sz w:val="22"/>
              </w:rPr>
              <w:t>Registros / efecto</w:t>
            </w:r>
          </w:p>
        </w:tc>
      </w:tr>
      <w:tr>
        <w:trPr>
          <w:cantSplit/>
        </w:trPr>
        <w:tc>
          <w:tcPr>
            <w:tcW w:type="dxa" w:w="2880"/>
            <w:vAlign w:val="center"/>
            <w:tcMar>
              <w:top w:w="90" w:type="dxa"/>
              <w:left w:w="90" w:type="dxa"/>
              <w:bottom w:w="90" w:type="dxa"/>
              <w:right w:w="90" w:type="dxa"/>
            </w:tcMar>
          </w:tcPr>
          <w:p>
            <w:pPr>
              <w:spacing w:after="40" w:before="20" w:line="242" w:lineRule="auto"/>
            </w:pPr>
            <w:r>
              <w:rPr>
                <w:sz w:val="22"/>
              </w:rPr>
              <w:t>Cierres nuevos</w:t>
            </w:r>
          </w:p>
        </w:tc>
        <w:tc>
          <w:tcPr>
            <w:tcW w:type="dxa" w:w="1296"/>
            <w:vAlign w:val="center"/>
            <w:tcMar>
              <w:top w:w="90" w:type="dxa"/>
              <w:left w:w="90" w:type="dxa"/>
              <w:bottom w:w="90" w:type="dxa"/>
              <w:right w:w="90" w:type="dxa"/>
            </w:tcMar>
          </w:tcPr>
          <w:p>
            <w:pPr>
              <w:spacing w:after="40" w:before="20" w:line="242" w:lineRule="auto"/>
            </w:pPr>
            <w:r>
              <w:rPr>
                <w:sz w:val="22"/>
              </w:rPr>
              <w:t>2</w:t>
            </w:r>
          </w:p>
        </w:tc>
        <w:tc>
          <w:tcPr>
            <w:tcW w:type="dxa" w:w="6048"/>
            <w:vAlign w:val="center"/>
            <w:tcMar>
              <w:top w:w="90" w:type="dxa"/>
              <w:left w:w="90" w:type="dxa"/>
              <w:bottom w:w="90" w:type="dxa"/>
              <w:right w:w="90" w:type="dxa"/>
            </w:tcMar>
          </w:tcPr>
          <w:p>
            <w:pPr>
              <w:spacing w:after="40" w:before="20" w:line="242" w:lineRule="auto"/>
            </w:pPr>
            <w:r>
              <w:rPr>
                <w:sz w:val="22"/>
              </w:rPr>
              <w:t>#955 Catálogo comercial; #971 Demostración inicial.</w:t>
            </w:r>
          </w:p>
        </w:tc>
      </w:tr>
      <w:tr>
        <w:trPr>
          <w:cantSplit/>
        </w:trPr>
        <w:tc>
          <w:tcPr>
            <w:tcW w:type="dxa" w:w="2880"/>
            <w:vAlign w:val="center"/>
            <w:tcMar>
              <w:top w:w="90" w:type="dxa"/>
              <w:left w:w="90" w:type="dxa"/>
              <w:bottom w:w="90" w:type="dxa"/>
              <w:right w:w="90" w:type="dxa"/>
            </w:tcMar>
          </w:tcPr>
          <w:p>
            <w:pPr>
              <w:spacing w:after="40" w:before="20" w:line="242" w:lineRule="auto"/>
            </w:pPr>
            <w:r>
              <w:rPr>
                <w:sz w:val="22"/>
              </w:rPr>
              <w:t>Conservar terminada</w:t>
            </w:r>
          </w:p>
        </w:tc>
        <w:tc>
          <w:tcPr>
            <w:tcW w:type="dxa" w:w="1296"/>
            <w:vAlign w:val="center"/>
            <w:tcMar>
              <w:top w:w="90" w:type="dxa"/>
              <w:left w:w="90" w:type="dxa"/>
              <w:bottom w:w="90" w:type="dxa"/>
              <w:right w:w="90" w:type="dxa"/>
            </w:tcMar>
          </w:tcPr>
          <w:p>
            <w:pPr>
              <w:spacing w:after="40" w:before="20" w:line="242" w:lineRule="auto"/>
            </w:pPr>
            <w:r>
              <w:rPr>
                <w:sz w:val="22"/>
              </w:rPr>
              <w:t>1</w:t>
            </w:r>
          </w:p>
        </w:tc>
        <w:tc>
          <w:tcPr>
            <w:tcW w:type="dxa" w:w="6048"/>
            <w:vAlign w:val="center"/>
            <w:tcMar>
              <w:top w:w="90" w:type="dxa"/>
              <w:left w:w="90" w:type="dxa"/>
              <w:bottom w:w="90" w:type="dxa"/>
              <w:right w:w="90" w:type="dxa"/>
            </w:tcMar>
          </w:tcPr>
          <w:p>
            <w:pPr>
              <w:spacing w:after="40" w:before="20" w:line="242" w:lineRule="auto"/>
            </w:pPr>
            <w:r>
              <w:rPr>
                <w:sz w:val="22"/>
              </w:rPr>
              <w:t>#962 ESP-TEC: ya tiene estado Hecha; alinear su columna.</w:t>
            </w:r>
          </w:p>
        </w:tc>
      </w:tr>
      <w:tr>
        <w:trPr>
          <w:cantSplit/>
        </w:trPr>
        <w:tc>
          <w:tcPr>
            <w:tcW w:type="dxa" w:w="2880"/>
            <w:vAlign w:val="center"/>
            <w:tcMar>
              <w:top w:w="90" w:type="dxa"/>
              <w:left w:w="90" w:type="dxa"/>
              <w:bottom w:w="90" w:type="dxa"/>
              <w:right w:w="90" w:type="dxa"/>
            </w:tcMar>
          </w:tcPr>
          <w:p>
            <w:pPr>
              <w:spacing w:after="40" w:before="20" w:line="242" w:lineRule="auto"/>
            </w:pPr>
            <w:r>
              <w:rPr>
                <w:sz w:val="22"/>
              </w:rPr>
              <w:t>Mantener abiertas</w:t>
            </w:r>
          </w:p>
        </w:tc>
        <w:tc>
          <w:tcPr>
            <w:tcW w:type="dxa" w:w="1296"/>
            <w:vAlign w:val="center"/>
            <w:tcMar>
              <w:top w:w="90" w:type="dxa"/>
              <w:left w:w="90" w:type="dxa"/>
              <w:bottom w:w="90" w:type="dxa"/>
              <w:right w:w="90" w:type="dxa"/>
            </w:tcMar>
          </w:tcPr>
          <w:p>
            <w:pPr>
              <w:spacing w:after="40" w:before="20" w:line="242" w:lineRule="auto"/>
            </w:pPr>
            <w:r>
              <w:rPr>
                <w:sz w:val="22"/>
              </w:rPr>
              <w:t>17</w:t>
            </w:r>
          </w:p>
        </w:tc>
        <w:tc>
          <w:tcPr>
            <w:tcW w:type="dxa" w:w="6048"/>
            <w:vAlign w:val="center"/>
            <w:tcMar>
              <w:top w:w="90" w:type="dxa"/>
              <w:left w:w="90" w:type="dxa"/>
              <w:bottom w:w="90" w:type="dxa"/>
              <w:right w:w="90" w:type="dxa"/>
            </w:tcMar>
          </w:tcPr>
          <w:p>
            <w:pPr>
              <w:spacing w:after="40" w:before="20" w:line="242" w:lineRule="auto"/>
            </w:pPr>
            <w:r>
              <w:rPr>
                <w:sz w:val="22"/>
              </w:rPr>
              <w:t>13 con avance parcial y 4 sin evidencia suficiente de cumplimiento.</w:t>
            </w:r>
          </w:p>
        </w:tc>
      </w:tr>
      <w:tr>
        <w:trPr>
          <w:cantSplit/>
        </w:trPr>
        <w:tc>
          <w:tcPr>
            <w:tcW w:type="dxa" w:w="2880"/>
            <w:vAlign w:val="center"/>
            <w:tcMar>
              <w:top w:w="90" w:type="dxa"/>
              <w:left w:w="90" w:type="dxa"/>
              <w:bottom w:w="90" w:type="dxa"/>
              <w:right w:w="90" w:type="dxa"/>
            </w:tcMar>
          </w:tcPr>
          <w:p>
            <w:pPr>
              <w:spacing w:after="40" w:before="20" w:line="242" w:lineRule="auto"/>
            </w:pPr>
            <w:r>
              <w:rPr>
                <w:sz w:val="22"/>
              </w:rPr>
              <w:t>Acciones nuevas</w:t>
            </w:r>
          </w:p>
        </w:tc>
        <w:tc>
          <w:tcPr>
            <w:tcW w:type="dxa" w:w="1296"/>
            <w:vAlign w:val="center"/>
            <w:tcMar>
              <w:top w:w="90" w:type="dxa"/>
              <w:left w:w="90" w:type="dxa"/>
              <w:bottom w:w="90" w:type="dxa"/>
              <w:right w:w="90" w:type="dxa"/>
            </w:tcMar>
          </w:tcPr>
          <w:p>
            <w:pPr>
              <w:spacing w:after="40" w:before="20" w:line="242" w:lineRule="auto"/>
            </w:pPr>
            <w:r>
              <w:rPr>
                <w:sz w:val="22"/>
              </w:rPr>
              <w:t>9</w:t>
            </w:r>
          </w:p>
        </w:tc>
        <w:tc>
          <w:tcPr>
            <w:tcW w:type="dxa" w:w="6048"/>
            <w:vAlign w:val="center"/>
            <w:tcMar>
              <w:top w:w="90" w:type="dxa"/>
              <w:left w:w="90" w:type="dxa"/>
              <w:bottom w:w="90" w:type="dxa"/>
              <w:right w:w="90" w:type="dxa"/>
            </w:tcMar>
          </w:tcPr>
          <w:p>
            <w:pPr>
              <w:spacing w:after="40" w:before="20" w:line="242" w:lineRule="auto"/>
            </w:pPr>
            <w:r>
              <w:rPr>
                <w:sz w:val="22"/>
              </w:rPr>
              <w:t>2 de CMR y 7 de CiLi. Sin repetir los pendientes R2.</w:t>
            </w:r>
          </w:p>
        </w:tc>
      </w:tr>
    </w:tbl>
    <w:p>
      <w:pPr>
        <w:spacing w:after="20"/>
      </w:pPr>
    </w:p>
    <w:p>
      <w:r>
        <w:t>No se propone cerrar ninguna tarea padre por el solo cierre de una subtarea. Si se autoriza todo el plan, los acuerdos R2 pasarían de 1 a 3 terminados; quedarían 17 abiertos, más 9 pendientes nuevos. Es un conteo de acuerdos, no un porcentaje de avance del ERP.</w:t>
      </w:r>
    </w:p>
    <w:p>
      <w:pPr>
        <w:pStyle w:val="Caption"/>
      </w:pPr>
      <w:r>
        <w:t>Fuente principal: Reunión 3 EPR CMR.docx. Las marcas de tiempo indican posiciones dentro de la grabación. Contraste: Minuta_CMR_Reunion_2_y_Match_Odoo.docx y consulta directa del proyecto 51, sus tareas padre, subtareas R2 y etapas.</w:t>
      </w:r>
    </w:p>
    <w:p>
      <w:r>
        <w:br w:type="page"/>
      </w:r>
    </w:p>
    <w:p>
      <w:pPr>
        <w:pStyle w:val="Heading1"/>
      </w:pPr>
      <w:r>
        <w:t>1. Acuerdos de la reunión 3</w:t>
      </w:r>
    </w:p>
    <w:p>
      <w:r>
        <w:rPr>
          <w:b/>
        </w:rPr>
        <w:t>Flujo Comercial-Ingeniería.</w:t>
      </w:r>
      <w:r>
        <w:t xml:space="preserve"> Rafael solicita la volumetría; Pablo, coordinador de Ingeniería, revisa cargas y asigna al proyectista. Pablo revisa el trabajo y refleja el estatus hacia Comercial. Los proyectistas trabajan en su flujo técnico; no se sustituye esta decisión por una asignación directa a Rafael. [R3 32:31-34:52; 48:19-49:28]</w:t>
      </w:r>
    </w:p>
    <w:p>
      <w:r>
        <w:rPr>
          <w:b/>
        </w:rPr>
        <w:t>Congelamiento operativo.</w:t>
      </w:r>
      <w:r>
        <w:t xml:space="preserve"> La especificación se congela al pasar a volumetría, no al crear la oportunidad. La tabla de control de planos debe poder actualizarse. Si hay correcciones, Comercial devuelve a revisión para ajustar y reenviar; se busca dejar rastro de los regresos. La implementación no se mostró terminada. [R3 43:01-45:36]</w:t>
      </w:r>
    </w:p>
    <w:p>
      <w:r>
        <w:rPr>
          <w:b/>
        </w:rPr>
        <w:t>Cierre final de información.</w:t>
      </w:r>
      <w:r>
        <w:t xml:space="preserve"> Se distingue del bloqueo anterior: en Shell Plan se precisan ajustes y se busca la conformidad/firma del cliente sobre lo que finalmente se fabricará. No se acredita una firma de cliente ni una liberación final en esta sesión. [R3 54:25-55:38; 1:22:42-1:23:57]</w:t>
      </w:r>
    </w:p>
    <w:p>
      <w:r>
        <w:rPr>
          <w:b/>
        </w:rPr>
        <w:t>Planos y cantidades.</w:t>
      </w:r>
      <w:r>
        <w:t xml:space="preserve"> Comercial aporta los planos originales del cliente y sus enlaces. Los planos coloreados son evidencia interna de Ingeniería; los metros cuadrados resultantes alimentan la cotización. Jorge debe revisar con Rodrigo el SIPOC de entradas y salidas. [R3 46:10-51:53]</w:t>
      </w:r>
    </w:p>
    <w:p>
      <w:r>
        <w:rPr>
          <w:b/>
        </w:rPr>
        <w:t>Numeración y opciones.</w:t>
      </w:r>
      <w:r>
        <w:t xml:space="preserve"> Se mantiene un consecutivo de tres cifras por oportunidad/prototipo, un identificador de opción y el año; el consecutivo reinicia anualmente. Varias opciones pertenecen a una misma oportunidad. Otro proyecto del mismo cliente es otra oportunidad. Opción no equivale a revisión. Los separadores y la implementación se validarán con el ejemplo. [R3 35:08-40:23]</w:t>
      </w:r>
    </w:p>
    <w:p>
      <w:r>
        <w:rPr>
          <w:b/>
        </w:rPr>
        <w:t>Reglas y prueba.</w:t>
      </w:r>
      <w:r>
        <w:t xml:space="preserve"> Mónica y Arlex revisarán con Rafael y Pablo los requisitos mínimos de cada tipo y probarán las cotizaciones. Las cinco plantillas mostradas en R3 no deben confundirse con los cuatro tipos/familias descritos en la minuta 2: corresponde validar su correspondencia, no corregir una fuente por suposición. [R3 9:07-10:03; 40:31-42:44]</w:t>
      </w:r>
    </w:p>
    <w:p>
      <w:r>
        <w:rPr>
          <w:b/>
        </w:rPr>
        <w:t>Siguiente paso.</w:t>
      </w:r>
      <w:r>
        <w:t xml:space="preserve"> CMR plantea probar el lunes 2 de noviembre de 2026 por la mañana, incluido el caso de doce opciones y varios clientes/tipos, y familiarizar al equipo comercial. Se plantea revisar dudas e Ingeniería ese lunes, sin hora numérica confirmada. Antes de las pruebas, CiLi debe confirmar el acceso. No se fija una fecha individual para cada desarrollo. [R3 1:02:17-1:02:41; 1:21:04-1:22:15; 1:41:12-1:43:13]</w:t>
      </w:r>
    </w:p>
    <w:p>
      <w:r>
        <w:br w:type="page"/>
      </w:r>
    </w:p>
    <w:p>
      <w:pPr>
        <w:pStyle w:val="Heading1"/>
      </w:pPr>
      <w:r>
        <w:t>2. Comparativo completo de los 20 acuerdos R2</w:t>
      </w:r>
    </w:p>
    <w:p>
      <w:r>
        <w:t>Estado actual consultado: #962 ya está Hecha (1_done), aunque su columna sigue en In Progress. #963 y #971 están en la columna In Progress; los otros 17 registros están en New. Los 19 no terminados conservan el estado técnico 01_in_progress. Columna y estado se tratan por separado.</w:t>
      </w:r>
    </w:p>
    <w:p>
      <w:pPr>
        <w:pStyle w:val="Caption"/>
      </w:pPr>
      <w:r>
        <w:t>Cerrar = propuesta de marcar Hecha. Parcial = conservar abierta y registrar lo logrado y lo faltante. Pendiente = no atribuir un cumplimiento que la transcripción no demuestra. Las referencias de esta tabla son de la reunión 3.</w:t>
      </w:r>
    </w:p>
    <w:tbl>
      <w:tblPr>
        <w:tblW w:type="auto" w:w="0"/>
        <w:jc w:val="center"/>
        <w:tblLayout w:type="fixed"/>
        <w:tblLook w:firstColumn="1" w:firstRow="1" w:lastColumn="0" w:lastRow="0" w:noHBand="0" w:noVBand="1" w:val="04A0"/>
        <w:tblBorders>
          <w:top w:val="nil"/>
          <w:left w:val="nil"/>
          <w:bottom w:val="nil"/>
          <w:right w:val="nil"/>
          <w:insideV w:val="nil"/>
          <w:insideH w:val="single" w:sz="3" w:color="D6E1E4"/>
        </w:tblBorders>
      </w:tblPr>
      <w:tblGrid>
        <w:gridCol w:w="1138"/>
        <w:gridCol w:w="2290"/>
        <w:gridCol w:w="1469"/>
        <w:gridCol w:w="5328"/>
      </w:tblGrid>
      <w:tr>
        <w:trPr>
          <w:cantSplit/>
          <w:tblHeader/>
        </w:trPr>
        <w:tc>
          <w:tcPr>
            <w:tcW w:type="dxa" w:w="1138"/>
            <w:vAlign w:val="center"/>
            <w:tcMar>
              <w:top w:w="90" w:type="dxa"/>
              <w:left w:w="90" w:type="dxa"/>
              <w:bottom w:w="90" w:type="dxa"/>
              <w:right w:w="90" w:type="dxa"/>
            </w:tcMar>
            <w:shd w:fill="153D4A"/>
          </w:tcPr>
          <w:p>
            <w:pPr>
              <w:spacing w:after="40" w:before="20" w:line="242" w:lineRule="auto"/>
            </w:pPr>
            <w:r>
              <w:rPr>
                <w:b/>
                <w:color w:val="FFFFFF"/>
                <w:sz w:val="20"/>
              </w:rPr>
              <w:t>Acuerdo R2</w:t>
            </w:r>
          </w:p>
        </w:tc>
        <w:tc>
          <w:tcPr>
            <w:tcW w:type="dxa" w:w="2290"/>
            <w:vAlign w:val="center"/>
            <w:tcMar>
              <w:top w:w="90" w:type="dxa"/>
              <w:left w:w="90" w:type="dxa"/>
              <w:bottom w:w="90" w:type="dxa"/>
              <w:right w:w="90" w:type="dxa"/>
            </w:tcMar>
            <w:shd w:fill="153D4A"/>
          </w:tcPr>
          <w:p>
            <w:pPr>
              <w:spacing w:after="40" w:before="20" w:line="242" w:lineRule="auto"/>
            </w:pPr>
            <w:r>
              <w:rPr>
                <w:b/>
                <w:color w:val="FFFFFF"/>
                <w:sz w:val="20"/>
              </w:rPr>
              <w:t>Actividad y padre</w:t>
            </w:r>
          </w:p>
        </w:tc>
        <w:tc>
          <w:tcPr>
            <w:tcW w:type="dxa" w:w="1469"/>
            <w:vAlign w:val="center"/>
            <w:tcMar>
              <w:top w:w="90" w:type="dxa"/>
              <w:left w:w="90" w:type="dxa"/>
              <w:bottom w:w="90" w:type="dxa"/>
              <w:right w:w="90" w:type="dxa"/>
            </w:tcMar>
            <w:shd w:fill="153D4A"/>
          </w:tcPr>
          <w:p>
            <w:pPr>
              <w:spacing w:after="40" w:before="20" w:line="242" w:lineRule="auto"/>
            </w:pPr>
            <w:r>
              <w:rPr>
                <w:b/>
                <w:color w:val="FFFFFF"/>
                <w:sz w:val="20"/>
              </w:rPr>
              <w:t>Actual / propuesta</w:t>
            </w:r>
          </w:p>
        </w:tc>
        <w:tc>
          <w:tcPr>
            <w:tcW w:type="dxa" w:w="5328"/>
            <w:vAlign w:val="center"/>
            <w:tcMar>
              <w:top w:w="90" w:type="dxa"/>
              <w:left w:w="90" w:type="dxa"/>
              <w:bottom w:w="90" w:type="dxa"/>
              <w:right w:w="90" w:type="dxa"/>
            </w:tcMar>
            <w:shd w:fill="153D4A"/>
          </w:tcPr>
          <w:p>
            <w:pPr>
              <w:spacing w:after="40" w:before="20" w:line="242" w:lineRule="auto"/>
            </w:pPr>
            <w:r>
              <w:rPr>
                <w:b/>
                <w:color w:val="FFFFFF"/>
                <w:sz w:val="20"/>
              </w:rPr>
              <w:t>Evidencia y trabajo restante</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CMR-01</w:t>
              <w:br/>
              <w:t>#955</w:t>
            </w:r>
          </w:p>
        </w:tc>
        <w:tc>
          <w:tcPr>
            <w:tcW w:type="dxa" w:w="2290"/>
            <w:vAlign w:val="center"/>
            <w:tcMar>
              <w:top w:w="90" w:type="dxa"/>
              <w:left w:w="90" w:type="dxa"/>
              <w:bottom w:w="90" w:type="dxa"/>
              <w:right w:w="90" w:type="dxa"/>
            </w:tcMar>
          </w:tcPr>
          <w:p>
            <w:pPr>
              <w:spacing w:after="40" w:before="20" w:line="242" w:lineRule="auto"/>
            </w:pPr>
            <w:r>
              <w:rPr>
                <w:sz w:val="20"/>
              </w:rPr>
              <w:t>Entregar catálogo comercial</w:t>
              <w:br/>
              <w:t>Padre: C02 #807</w:t>
            </w:r>
          </w:p>
        </w:tc>
        <w:tc>
          <w:tcPr>
            <w:tcW w:type="dxa" w:w="1469"/>
            <w:vAlign w:val="center"/>
            <w:tcMar>
              <w:top w:w="90" w:type="dxa"/>
              <w:left w:w="90" w:type="dxa"/>
              <w:bottom w:w="90" w:type="dxa"/>
              <w:right w:w="90" w:type="dxa"/>
            </w:tcMar>
          </w:tcPr>
          <w:p>
            <w:pPr>
              <w:spacing w:after="40" w:before="20" w:line="242" w:lineRule="auto"/>
            </w:pPr>
            <w:r>
              <w:rPr>
                <w:sz w:val="20"/>
              </w:rPr>
              <w:t>New</w:t>
              <w:br/>
              <w:t>→ Cerrar</w:t>
            </w:r>
          </w:p>
        </w:tc>
        <w:tc>
          <w:tcPr>
            <w:tcW w:type="dxa" w:w="5328"/>
            <w:vAlign w:val="center"/>
            <w:tcMar>
              <w:top w:w="90" w:type="dxa"/>
              <w:left w:w="90" w:type="dxa"/>
              <w:bottom w:w="90" w:type="dxa"/>
              <w:right w:w="90" w:type="dxa"/>
            </w:tcMar>
          </w:tcPr>
          <w:p>
            <w:pPr>
              <w:spacing w:after="40" w:before="20" w:line="242" w:lineRule="auto"/>
            </w:pPr>
            <w:r>
              <w:rPr>
                <w:sz w:val="20"/>
              </w:rPr>
              <w:t>El catálogo base está recibido y utilizado: se muestran productos, precios entregados por CMR, dos listas en USD y variantes de 500/1,000 usos. Cerrar la entrega del insumo, no una aprobación exhaustiva de tarifas ni de todas las cotizaciones. Las reglas y pruebas siguen en #959 y #961.</w:t>
              <w:br/>
              <w:t>R3: 12:18-14:50; 39:14-39:36.</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CMR-02</w:t>
              <w:br/>
              <w:t>#956</w:t>
            </w:r>
          </w:p>
        </w:tc>
        <w:tc>
          <w:tcPr>
            <w:tcW w:type="dxa" w:w="2290"/>
            <w:vAlign w:val="center"/>
            <w:tcMar>
              <w:top w:w="90" w:type="dxa"/>
              <w:left w:w="90" w:type="dxa"/>
              <w:bottom w:w="90" w:type="dxa"/>
              <w:right w:w="90" w:type="dxa"/>
            </w:tcMar>
          </w:tcPr>
          <w:p>
            <w:pPr>
              <w:spacing w:after="40" w:before="20" w:line="242" w:lineRule="auto"/>
            </w:pPr>
            <w:r>
              <w:rPr>
                <w:sz w:val="20"/>
              </w:rPr>
              <w:t>Definir buzón y distribución de correo</w:t>
              <w:br/>
              <w:t>Padre: C02 #807</w:t>
            </w:r>
          </w:p>
        </w:tc>
        <w:tc>
          <w:tcPr>
            <w:tcW w:type="dxa" w:w="1469"/>
            <w:vAlign w:val="center"/>
            <w:tcMar>
              <w:top w:w="90" w:type="dxa"/>
              <w:left w:w="90" w:type="dxa"/>
              <w:bottom w:w="90" w:type="dxa"/>
              <w:right w:w="90" w:type="dxa"/>
            </w:tcMar>
          </w:tcPr>
          <w:p>
            <w:pPr>
              <w:spacing w:after="40" w:before="20" w:line="242" w:lineRule="auto"/>
            </w:pPr>
            <w:r>
              <w:rPr>
                <w:sz w:val="20"/>
              </w:rPr>
              <w:t>New</w:t>
              <w:br/>
              <w:t>→ Pendiente</w:t>
            </w:r>
          </w:p>
        </w:tc>
        <w:tc>
          <w:tcPr>
            <w:tcW w:type="dxa" w:w="5328"/>
            <w:vAlign w:val="center"/>
            <w:tcMar>
              <w:top w:w="90" w:type="dxa"/>
              <w:left w:w="90" w:type="dxa"/>
              <w:bottom w:w="90" w:type="dxa"/>
              <w:right w:w="90" w:type="dxa"/>
            </w:tcMar>
          </w:tcPr>
          <w:p>
            <w:pPr>
              <w:spacing w:after="40" w:before="20" w:line="242" w:lineRule="auto"/>
            </w:pPr>
            <w:r>
              <w:rPr>
                <w:sz w:val="20"/>
              </w:rPr>
              <w:t>No se identifica una decisión definitiva sobre buzón, responsables, alias o redirección. Se confirma que el correo aún no está conectado. Comprar el dominio y activar notificaciones internas no resuelve este acuerdo.</w:t>
              <w:br/>
              <w:t>R3: 57:04-57:48; 1:16:38-1:17:12.</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CMR-03</w:t>
              <w:br/>
              <w:t>#957</w:t>
            </w:r>
          </w:p>
        </w:tc>
        <w:tc>
          <w:tcPr>
            <w:tcW w:type="dxa" w:w="2290"/>
            <w:vAlign w:val="center"/>
            <w:tcMar>
              <w:top w:w="90" w:type="dxa"/>
              <w:left w:w="90" w:type="dxa"/>
              <w:bottom w:w="90" w:type="dxa"/>
              <w:right w:w="90" w:type="dxa"/>
            </w:tcMar>
          </w:tcPr>
          <w:p>
            <w:pPr>
              <w:spacing w:after="40" w:before="20" w:line="242" w:lineRule="auto"/>
            </w:pPr>
            <w:r>
              <w:rPr>
                <w:sz w:val="20"/>
              </w:rPr>
              <w:t>Aprobar matriz de permisos</w:t>
              <w:br/>
              <w:t>Padre: I04 #803</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define a Pablo como coordinador con acceso al flujo comercial, responsable de asignar y revisar. Falta completar y aprobar la matriz de acceso de proyectistas y la separación de importes. La visibilidad del canal para Adriana revela otro control de acceso por revisar.</w:t>
              <w:br/>
              <w:t>R3: 34:03-34:52; 48:19-49:28; 1:09:38-1:10:17.</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CMR-04</w:t>
              <w:br/>
              <w:t>#958</w:t>
            </w:r>
          </w:p>
        </w:tc>
        <w:tc>
          <w:tcPr>
            <w:tcW w:type="dxa" w:w="2290"/>
            <w:vAlign w:val="center"/>
            <w:tcMar>
              <w:top w:w="90" w:type="dxa"/>
              <w:left w:w="90" w:type="dxa"/>
              <w:bottom w:w="90" w:type="dxa"/>
              <w:right w:w="90" w:type="dxa"/>
            </w:tcMar>
          </w:tcPr>
          <w:p>
            <w:pPr>
              <w:spacing w:after="40" w:before="20" w:line="242" w:lineRule="auto"/>
            </w:pPr>
            <w:r>
              <w:rPr>
                <w:sz w:val="20"/>
              </w:rPr>
              <w:t>Validar campos y requisitos ESP-TEC</w:t>
              <w:br/>
              <w:t>Padre: C01 #806</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explica metros ponderados y se solicita cambiar plano urbanístico por plano de sembrado. Los requisitos mínimos definitivos se revisarán con Rafael y Pablo; no se aprueba aún una matriz final por tipo. Registrar la decisión sobre conservar el campo ponderado.</w:t>
              <w:br/>
              <w:t>R3: 4:46; 8:26-9:02; 40:31-42:44.</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CMR-05</w:t>
              <w:br/>
              <w:t>#959</w:t>
            </w:r>
          </w:p>
        </w:tc>
        <w:tc>
          <w:tcPr>
            <w:tcW w:type="dxa" w:w="2290"/>
            <w:vAlign w:val="center"/>
            <w:tcMar>
              <w:top w:w="90" w:type="dxa"/>
              <w:left w:w="90" w:type="dxa"/>
              <w:bottom w:w="90" w:type="dxa"/>
              <w:right w:w="90" w:type="dxa"/>
            </w:tcMar>
          </w:tcPr>
          <w:p>
            <w:pPr>
              <w:spacing w:after="40" w:before="20" w:line="242" w:lineRule="auto"/>
            </w:pPr>
            <w:r>
              <w:rPr>
                <w:sz w:val="20"/>
              </w:rPr>
              <w:t>Validar reglas, cálculos y opciones</w:t>
              <w:br/>
              <w:t>Padre: C01 #806</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Quedan aclaradas las opciones por oportunidad, el consecutivo anual y las variantes 500/1,000 usos. Continúa pendiente la conciliación de cantidades, porcentajes y resultados con el caso completo de referencia. No convertir la explicación de nomenclatura en aprobación de todos los cálculos.</w:t>
              <w:br/>
              <w:t>R3: 35:08-40:23; 1:02:17-1:02:41.</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CMR-06</w:t>
              <w:br/>
              <w:t>#960</w:t>
            </w:r>
          </w:p>
        </w:tc>
        <w:tc>
          <w:tcPr>
            <w:tcW w:type="dxa" w:w="2290"/>
            <w:vAlign w:val="center"/>
            <w:tcMar>
              <w:top w:w="90" w:type="dxa"/>
              <w:left w:w="90" w:type="dxa"/>
              <w:bottom w:w="90" w:type="dxa"/>
              <w:right w:w="90" w:type="dxa"/>
            </w:tcMar>
          </w:tcPr>
          <w:p>
            <w:pPr>
              <w:spacing w:after="40" w:before="20" w:line="242" w:lineRule="auto"/>
            </w:pPr>
            <w:r>
              <w:rPr>
                <w:sz w:val="20"/>
              </w:rPr>
              <w:t>Acordar liberación y cambios</w:t>
              <w:br/>
              <w:t>Padre: E01 #815</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Resuelto el criterio operativo: congelar al entrar a volumetría; permitir actualizar el control de planos; devolver a revisión para corregir. Se distingue el cierre final con cliente en Shell Plan. Mantener abierto para documentar la regla completa, las aprobaciones finales y la conservación de la versión aprobada.</w:t>
              <w:br/>
              <w:t>R3: 43:01-45:36; 1:22:42-1:23:57.</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CMR-07</w:t>
              <w:br/>
              <w:t>#961</w:t>
            </w:r>
          </w:p>
        </w:tc>
        <w:tc>
          <w:tcPr>
            <w:tcW w:type="dxa" w:w="2290"/>
            <w:vAlign w:val="center"/>
            <w:tcMar>
              <w:top w:w="90" w:type="dxa"/>
              <w:left w:w="90" w:type="dxa"/>
              <w:bottom w:w="90" w:type="dxa"/>
              <w:right w:w="90" w:type="dxa"/>
            </w:tcMar>
          </w:tcPr>
          <w:p>
            <w:pPr>
              <w:spacing w:after="40" w:before="20" w:line="242" w:lineRule="auto"/>
            </w:pPr>
            <w:r>
              <w:rPr>
                <w:sz w:val="20"/>
              </w:rPr>
              <w:t>Revisar y aceptar el piloto</w:t>
              <w:br/>
              <w:t>Padre: C09 #814</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CMR revisó la demostración y formuló observaciones. El ejercicio de las doce opciones, la prueba con varios clientes y la validación del traspaso quedan pendientes. Conservar esta misma tarea para la prueba del lunes; no crear otra aceptación paralela.</w:t>
              <w:br/>
              <w:t>R3: 26:14-26:42; 1:02:17-1:02:41; 1:41:12-1:42:50.</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CILI-01</w:t>
              <w:br/>
              <w:t>#962</w:t>
            </w:r>
          </w:p>
        </w:tc>
        <w:tc>
          <w:tcPr>
            <w:tcW w:type="dxa" w:w="2290"/>
            <w:vAlign w:val="center"/>
            <w:tcMar>
              <w:top w:w="90" w:type="dxa"/>
              <w:left w:w="90" w:type="dxa"/>
              <w:bottom w:w="90" w:type="dxa"/>
              <w:right w:w="90" w:type="dxa"/>
            </w:tcMar>
          </w:tcPr>
          <w:p>
            <w:pPr>
              <w:spacing w:after="40" w:before="20" w:line="242" w:lineRule="auto"/>
            </w:pPr>
            <w:r>
              <w:rPr>
                <w:sz w:val="20"/>
              </w:rPr>
              <w:t>Parametrizar ESP-TEC</w:t>
              <w:br/>
              <w:t>Padre: C05 #810</w:t>
            </w:r>
          </w:p>
        </w:tc>
        <w:tc>
          <w:tcPr>
            <w:tcW w:type="dxa" w:w="1469"/>
            <w:vAlign w:val="center"/>
            <w:tcMar>
              <w:top w:w="90" w:type="dxa"/>
              <w:left w:w="90" w:type="dxa"/>
              <w:bottom w:w="90" w:type="dxa"/>
              <w:right w:w="90" w:type="dxa"/>
            </w:tcMar>
          </w:tcPr>
          <w:p>
            <w:pPr>
              <w:spacing w:after="40" w:before="20" w:line="242" w:lineRule="auto"/>
            </w:pPr>
            <w:r>
              <w:rPr>
                <w:sz w:val="20"/>
              </w:rPr>
              <w:t>Hecha / columna In Progress</w:t>
              <w:br/>
              <w:t>→ Conservar hecha</w:t>
            </w:r>
          </w:p>
        </w:tc>
        <w:tc>
          <w:tcPr>
            <w:tcW w:type="dxa" w:w="5328"/>
            <w:vAlign w:val="center"/>
            <w:tcMar>
              <w:top w:w="90" w:type="dxa"/>
              <w:left w:w="90" w:type="dxa"/>
              <w:bottom w:w="90" w:type="dxa"/>
              <w:right w:w="90" w:type="dxa"/>
            </w:tcMar>
          </w:tcPr>
          <w:p>
            <w:pPr>
              <w:spacing w:after="40" w:before="20" w:line="242" w:lineRule="auto"/>
            </w:pPr>
            <w:r>
              <w:rPr>
                <w:sz w:val="20"/>
              </w:rPr>
              <w:t>Ya figura con estado 1_done en Odoo. La reunión confirma el formulario publicado, campos mapeados y control de planos. Conservar el cierre y proponer alinear la columna a Done. La corrección de nombre y la salida PDF se separarían como R3-CILI-01 y R3-CILI-04.</w:t>
              <w:br/>
              <w:t>R3: 4:05-9:23.</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CILI-02</w:t>
              <w:br/>
              <w:t>#963</w:t>
            </w:r>
          </w:p>
        </w:tc>
        <w:tc>
          <w:tcPr>
            <w:tcW w:type="dxa" w:w="2290"/>
            <w:vAlign w:val="center"/>
            <w:tcMar>
              <w:top w:w="90" w:type="dxa"/>
              <w:left w:w="90" w:type="dxa"/>
              <w:bottom w:w="90" w:type="dxa"/>
              <w:right w:w="90" w:type="dxa"/>
            </w:tcMar>
          </w:tcPr>
          <w:p>
            <w:pPr>
              <w:spacing w:after="40" w:before="20" w:line="242" w:lineRule="auto"/>
            </w:pPr>
            <w:r>
              <w:rPr>
                <w:sz w:val="20"/>
              </w:rPr>
              <w:t>Ajustar etapas y requisitos</w:t>
              <w:br/>
              <w:t>Padre: C03 #808</w:t>
            </w:r>
          </w:p>
        </w:tc>
        <w:tc>
          <w:tcPr>
            <w:tcW w:type="dxa" w:w="1469"/>
            <w:vAlign w:val="center"/>
            <w:tcMar>
              <w:top w:w="90" w:type="dxa"/>
              <w:left w:w="90" w:type="dxa"/>
              <w:bottom w:w="90" w:type="dxa"/>
              <w:right w:w="90" w:type="dxa"/>
            </w:tcMar>
          </w:tcPr>
          <w:p>
            <w:pPr>
              <w:spacing w:after="40" w:before="20" w:line="242" w:lineRule="auto"/>
            </w:pPr>
            <w:r>
              <w:rPr>
                <w:sz w:val="20"/>
              </w:rPr>
              <w:t>In Progress</w:t>
              <w:br/>
              <w:t>→ Parcial</w:t>
            </w:r>
          </w:p>
        </w:tc>
        <w:tc>
          <w:tcPr>
            <w:tcW w:type="dxa" w:w="5328"/>
            <w:vAlign w:val="center"/>
            <w:tcMar>
              <w:top w:w="90" w:type="dxa"/>
              <w:left w:w="90" w:type="dxa"/>
              <w:bottom w:w="90" w:type="dxa"/>
              <w:right w:w="90" w:type="dxa"/>
            </w:tcMar>
          </w:tcPr>
          <w:p>
            <w:pPr>
              <w:spacing w:after="40" w:before="20" w:line="242" w:lineRule="auto"/>
            </w:pPr>
            <w:r>
              <w:rPr>
                <w:sz w:val="20"/>
              </w:rPr>
              <w:t>Se demuestra el motor de bloqueos, requisitos configurables y tratamiento por tipo, incluido accesorios. CMR acuerda revisar todavía los mínimos con Rafael y Pablo. Mantener en curso hasta aplicar y probar esas reglas aprobadas.</w:t>
              <w:br/>
              <w:t>R3: 7:06-9:23; 27:03-28:14; 40:31-42:44.</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CILI-03</w:t>
              <w:br/>
              <w:t>#964</w:t>
            </w:r>
          </w:p>
        </w:tc>
        <w:tc>
          <w:tcPr>
            <w:tcW w:type="dxa" w:w="2290"/>
            <w:vAlign w:val="center"/>
            <w:tcMar>
              <w:top w:w="90" w:type="dxa"/>
              <w:left w:w="90" w:type="dxa"/>
              <w:bottom w:w="90" w:type="dxa"/>
              <w:right w:w="90" w:type="dxa"/>
            </w:tcMar>
          </w:tcPr>
          <w:p>
            <w:pPr>
              <w:spacing w:after="40" w:before="20" w:line="242" w:lineRule="auto"/>
            </w:pPr>
            <w:r>
              <w:rPr>
                <w:sz w:val="20"/>
              </w:rPr>
              <w:t>Configurar y probar permisos</w:t>
              <w:br/>
              <w:t>Padre: I04 #803</w:t>
            </w:r>
          </w:p>
        </w:tc>
        <w:tc>
          <w:tcPr>
            <w:tcW w:type="dxa" w:w="1469"/>
            <w:vAlign w:val="center"/>
            <w:tcMar>
              <w:top w:w="90" w:type="dxa"/>
              <w:left w:w="90" w:type="dxa"/>
              <w:bottom w:w="90" w:type="dxa"/>
              <w:right w:w="90" w:type="dxa"/>
            </w:tcMar>
          </w:tcPr>
          <w:p>
            <w:pPr>
              <w:spacing w:after="40" w:before="20" w:line="242" w:lineRule="auto"/>
            </w:pPr>
            <w:r>
              <w:rPr>
                <w:sz w:val="20"/>
              </w:rPr>
              <w:t>New</w:t>
              <w:br/>
              <w:t>→ Pendiente</w:t>
            </w:r>
          </w:p>
        </w:tc>
        <w:tc>
          <w:tcPr>
            <w:tcW w:type="dxa" w:w="5328"/>
            <w:vAlign w:val="center"/>
            <w:tcMar>
              <w:top w:w="90" w:type="dxa"/>
              <w:left w:w="90" w:type="dxa"/>
              <w:bottom w:w="90" w:type="dxa"/>
              <w:right w:w="90" w:type="dxa"/>
            </w:tcMar>
          </w:tcPr>
          <w:p>
            <w:pPr>
              <w:spacing w:after="40" w:before="20" w:line="242" w:lineRule="auto"/>
            </w:pPr>
            <w:r>
              <w:rPr>
                <w:sz w:val="20"/>
              </w:rPr>
              <w:t>No se demuestra la matriz comercial/técnica funcionando con perfiles de prueba. Crear grupos de chat no acredita los permisos de proyectos ni la ocultación de importes. Añadir a la verificación los miembros de los grupos y la visibilidad del canal anterior; no eliminar historial automáticamente.</w:t>
              <w:br/>
              <w:t>R3: 34:18-34:52; 48:19-49:28; 1:09:38-1:10:17.</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CILI-04</w:t>
              <w:br/>
              <w:t>#965</w:t>
            </w:r>
          </w:p>
        </w:tc>
        <w:tc>
          <w:tcPr>
            <w:tcW w:type="dxa" w:w="2290"/>
            <w:vAlign w:val="center"/>
            <w:tcMar>
              <w:top w:w="90" w:type="dxa"/>
              <w:left w:w="90" w:type="dxa"/>
              <w:bottom w:w="90" w:type="dxa"/>
              <w:right w:w="90" w:type="dxa"/>
            </w:tcMar>
          </w:tcPr>
          <w:p>
            <w:pPr>
              <w:spacing w:after="40" w:before="20" w:line="242" w:lineRule="auto"/>
            </w:pPr>
            <w:r>
              <w:rPr>
                <w:sz w:val="20"/>
              </w:rPr>
              <w:t>Traspasar CRM a Ingeniería</w:t>
              <w:br/>
              <w:t>Padre: E03 #817</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acuerda Rafael solicita, Pablo revisa cargas/asigna y el proyectista ejecuta fuera del CRM; Pablo revisa el resultado. El disparador automático falló durante la demostración. Corregir/publicar y comprobar el retorno de resultados; no cerrar por la definición del flujo.</w:t>
              <w:br/>
              <w:t>R3: 29:58-30:44; 32:31-34:52; 48:54-51:53.</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CILI-05</w:t>
              <w:br/>
              <w:t>#966</w:t>
            </w:r>
          </w:p>
        </w:tc>
        <w:tc>
          <w:tcPr>
            <w:tcW w:type="dxa" w:w="2290"/>
            <w:vAlign w:val="center"/>
            <w:tcMar>
              <w:top w:w="90" w:type="dxa"/>
              <w:left w:w="90" w:type="dxa"/>
              <w:bottom w:w="90" w:type="dxa"/>
              <w:right w:w="90" w:type="dxa"/>
            </w:tcMar>
          </w:tcPr>
          <w:p>
            <w:pPr>
              <w:spacing w:after="40" w:before="20" w:line="242" w:lineRule="auto"/>
            </w:pPr>
            <w:r>
              <w:rPr>
                <w:sz w:val="20"/>
              </w:rPr>
              <w:t>Responsables, fechas y avisos</w:t>
              <w:br/>
              <w:t>Padre: E04 #818</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muestra una actividad manual con responsable, vencimiento de ejemplo y marca de realizada. No se demuestra la automatización completa. Configurar el paso por Pablo y comprobar avisos/fechas; los dos días del ejemplo no son un SLA aprobado.</w:t>
              <w:br/>
              <w:t>R3: 29:58-33:34; 34:03-34:52.</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CILI-06</w:t>
              <w:br/>
              <w:t>#967</w:t>
            </w:r>
          </w:p>
        </w:tc>
        <w:tc>
          <w:tcPr>
            <w:tcW w:type="dxa" w:w="2290"/>
            <w:vAlign w:val="center"/>
            <w:tcMar>
              <w:top w:w="90" w:type="dxa"/>
              <w:left w:w="90" w:type="dxa"/>
              <w:bottom w:w="90" w:type="dxa"/>
              <w:right w:w="90" w:type="dxa"/>
            </w:tcMar>
          </w:tcPr>
          <w:p>
            <w:pPr>
              <w:spacing w:after="40" w:before="20" w:line="242" w:lineRule="auto"/>
            </w:pPr>
            <w:r>
              <w:rPr>
                <w:sz w:val="20"/>
              </w:rPr>
              <w:t>Resumen de áreas y volumetría</w:t>
              <w:br/>
              <w:t>Padre: C05 #810</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muestra un campo de metros cuadrados y se define que Comercial recibe los metros; los planos coloreados son evidencia interna de Ingeniería. Falta probar el resumen, el soporte y la conciliación completa contra las cantidades de la cotización. No equivale a automatizar Revit.</w:t>
              <w:br/>
              <w:t>R3: 28:14; 49:35-51:53.</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CILI-07</w:t>
              <w:br/>
              <w:t>#968</w:t>
            </w:r>
          </w:p>
        </w:tc>
        <w:tc>
          <w:tcPr>
            <w:tcW w:type="dxa" w:w="2290"/>
            <w:vAlign w:val="center"/>
            <w:tcMar>
              <w:top w:w="90" w:type="dxa"/>
              <w:left w:w="90" w:type="dxa"/>
              <w:bottom w:w="90" w:type="dxa"/>
              <w:right w:w="90" w:type="dxa"/>
            </w:tcMar>
          </w:tcPr>
          <w:p>
            <w:pPr>
              <w:spacing w:after="40" w:before="20" w:line="242" w:lineRule="auto"/>
            </w:pPr>
            <w:r>
              <w:rPr>
                <w:sz w:val="20"/>
              </w:rPr>
              <w:t>Plantillas, cálculos y alternativas</w:t>
              <w:br/>
              <w:t>Padre: C05 #810</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presentan cinco plantillas, secciones editables, precios y variantes. Falta la salida con formato CMR, memoria gráfica, referencia/encabezado y numeración de opciones. Reutilizar esta tarea para esos ajustes; relacionar las nuevas acciones de exportación y tipo de cambio sin duplicarlas.</w:t>
              <w:br/>
              <w:t>R3: 10:03-13:10; 20:17-25:49; 35:08-40:23; 1:22:05-1:22:15.</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CILI-08</w:t>
              <w:br/>
              <w:t>#969</w:t>
            </w:r>
          </w:p>
        </w:tc>
        <w:tc>
          <w:tcPr>
            <w:tcW w:type="dxa" w:w="2290"/>
            <w:vAlign w:val="center"/>
            <w:tcMar>
              <w:top w:w="90" w:type="dxa"/>
              <w:left w:w="90" w:type="dxa"/>
              <w:bottom w:w="90" w:type="dxa"/>
              <w:right w:w="90" w:type="dxa"/>
            </w:tcMar>
          </w:tcPr>
          <w:p>
            <w:pPr>
              <w:spacing w:after="40" w:before="20" w:line="242" w:lineRule="auto"/>
            </w:pPr>
            <w:r>
              <w:rPr>
                <w:sz w:val="20"/>
              </w:rPr>
              <w:t>Versiones aprobadas y cambios</w:t>
              <w:br/>
              <w:t>Padre: E05 #819</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Hay trazabilidad de recepción/revisión de planos y se acuerda cómo congelar la ficha. No se demuestra el bloqueo de especificaciones ni la preservación de una versión aprobada al modificarla. Implementar y probar la regla acordada con #960.</w:t>
              <w:br/>
              <w:t>R3: 6:25; 43:01-45:36; 1:22:42-1:23:57.</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CILI-09</w:t>
              <w:br/>
              <w:t>#970</w:t>
            </w:r>
          </w:p>
        </w:tc>
        <w:tc>
          <w:tcPr>
            <w:tcW w:type="dxa" w:w="2290"/>
            <w:vAlign w:val="center"/>
            <w:tcMar>
              <w:top w:w="90" w:type="dxa"/>
              <w:left w:w="90" w:type="dxa"/>
              <w:bottom w:w="90" w:type="dxa"/>
              <w:right w:w="90" w:type="dxa"/>
            </w:tcMar>
          </w:tcPr>
          <w:p>
            <w:pPr>
              <w:spacing w:after="40" w:before="20" w:line="242" w:lineRule="auto"/>
            </w:pPr>
            <w:r>
              <w:rPr>
                <w:sz w:val="20"/>
              </w:rPr>
              <w:t>Expediente y acceso SharePoint</w:t>
              <w:br/>
              <w:t>Padre: E05 #819</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Se explica que Comercial aporta enlaces a los planos del cliente y se delimita la evidencia interna de Ingeniería. No se prueba la apertura del expediente SharePoint con usuarios autorizados ni la selección del archivo vigente. El campo de enlace no equivale a integración validada.</w:t>
              <w:br/>
              <w:t>R3: 46:10-47:54; 49:35-51:53.</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CILI-10</w:t>
              <w:br/>
              <w:t>#971</w:t>
            </w:r>
          </w:p>
        </w:tc>
        <w:tc>
          <w:tcPr>
            <w:tcW w:type="dxa" w:w="2290"/>
            <w:vAlign w:val="center"/>
            <w:tcMar>
              <w:top w:w="90" w:type="dxa"/>
              <w:left w:w="90" w:type="dxa"/>
              <w:bottom w:w="90" w:type="dxa"/>
              <w:right w:w="90" w:type="dxa"/>
            </w:tcMar>
          </w:tcPr>
          <w:p>
            <w:pPr>
              <w:spacing w:after="40" w:before="20" w:line="242" w:lineRule="auto"/>
            </w:pPr>
            <w:r>
              <w:rPr>
                <w:sz w:val="20"/>
              </w:rPr>
              <w:t>Productos de ejemplo y demostración</w:t>
              <w:br/>
              <w:t>Padre: C07 #812</w:t>
            </w:r>
          </w:p>
        </w:tc>
        <w:tc>
          <w:tcPr>
            <w:tcW w:type="dxa" w:w="1469"/>
            <w:vAlign w:val="center"/>
            <w:tcMar>
              <w:top w:w="90" w:type="dxa"/>
              <w:left w:w="90" w:type="dxa"/>
              <w:bottom w:w="90" w:type="dxa"/>
              <w:right w:w="90" w:type="dxa"/>
            </w:tcMar>
          </w:tcPr>
          <w:p>
            <w:pPr>
              <w:spacing w:after="40" w:before="20" w:line="242" w:lineRule="auto"/>
            </w:pPr>
            <w:r>
              <w:rPr>
                <w:sz w:val="20"/>
              </w:rPr>
              <w:t>In Progress</w:t>
              <w:br/>
              <w:t>→ Cerrar</w:t>
            </w:r>
          </w:p>
        </w:tc>
        <w:tc>
          <w:tcPr>
            <w:tcW w:type="dxa" w:w="5328"/>
            <w:vAlign w:val="center"/>
            <w:tcMar>
              <w:top w:w="90" w:type="dxa"/>
              <w:left w:w="90" w:type="dxa"/>
              <w:bottom w:w="90" w:type="dxa"/>
              <w:right w:w="90" w:type="dxa"/>
            </w:tcMar>
          </w:tcPr>
          <w:p>
            <w:pPr>
              <w:spacing w:after="40" w:before="20" w:line="242" w:lineRule="auto"/>
            </w:pPr>
            <w:r>
              <w:rPr>
                <w:sz w:val="20"/>
              </w:rPr>
              <w:t>Se genera una cotización, se agregan productos, se cambian cantidades/precios, se revisan secciones y se muestra la salida frente al formato CMR. Cerrar el compromiso de demostración inicial, dejando las diferencias en #968 y acciones R3. No cerrar #961 ni C07/C09 completos.</w:t>
              <w:br/>
              <w:t>R3: 10:03-25:49; 39:14-39:36.</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CILI-11</w:t>
              <w:br/>
              <w:t>#972</w:t>
            </w:r>
          </w:p>
        </w:tc>
        <w:tc>
          <w:tcPr>
            <w:tcW w:type="dxa" w:w="2290"/>
            <w:vAlign w:val="center"/>
            <w:tcMar>
              <w:top w:w="90" w:type="dxa"/>
              <w:left w:w="90" w:type="dxa"/>
              <w:bottom w:w="90" w:type="dxa"/>
              <w:right w:w="90" w:type="dxa"/>
            </w:tcMar>
          </w:tcPr>
          <w:p>
            <w:pPr>
              <w:spacing w:after="40" w:before="20" w:line="242" w:lineRule="auto"/>
            </w:pPr>
            <w:r>
              <w:rPr>
                <w:sz w:val="20"/>
              </w:rPr>
              <w:t>Conectar buzón comercial</w:t>
              <w:br/>
              <w:t>Padre: I07 #951</w:t>
            </w:r>
          </w:p>
        </w:tc>
        <w:tc>
          <w:tcPr>
            <w:tcW w:type="dxa" w:w="1469"/>
            <w:vAlign w:val="center"/>
            <w:tcMar>
              <w:top w:w="90" w:type="dxa"/>
              <w:left w:w="90" w:type="dxa"/>
              <w:bottom w:w="90" w:type="dxa"/>
              <w:right w:w="90" w:type="dxa"/>
            </w:tcMar>
          </w:tcPr>
          <w:p>
            <w:pPr>
              <w:spacing w:after="40" w:before="20" w:line="242" w:lineRule="auto"/>
            </w:pPr>
            <w:r>
              <w:rPr>
                <w:sz w:val="20"/>
              </w:rPr>
              <w:t>New</w:t>
              <w:br/>
              <w:t>→ Pendiente</w:t>
            </w:r>
          </w:p>
        </w:tc>
        <w:tc>
          <w:tcPr>
            <w:tcW w:type="dxa" w:w="5328"/>
            <w:vAlign w:val="center"/>
            <w:tcMar>
              <w:top w:w="90" w:type="dxa"/>
              <w:left w:w="90" w:type="dxa"/>
              <w:bottom w:w="90" w:type="dxa"/>
              <w:right w:w="90" w:type="dxa"/>
            </w:tcMar>
          </w:tcPr>
          <w:p>
            <w:pPr>
              <w:spacing w:after="40" w:before="20" w:line="242" w:lineRule="auto"/>
            </w:pPr>
            <w:r>
              <w:rPr>
                <w:sz w:val="20"/>
              </w:rPr>
              <w:t>Rodrigo confirma expresamente que los correos no están configurados. Mantener pendiente hasta definir el buzón, autorizar acceso y verificar envío/recepción según el flujo acordado. Las notificaciones internas probadas no cierran esta conexión.</w:t>
              <w:br/>
              <w:t>R3: 57:04-57:48; 1:16:38-1:17:12.</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CILI-12</w:t>
              <w:br/>
              <w:t>#973</w:t>
            </w:r>
          </w:p>
        </w:tc>
        <w:tc>
          <w:tcPr>
            <w:tcW w:type="dxa" w:w="2290"/>
            <w:vAlign w:val="center"/>
            <w:tcMar>
              <w:top w:w="90" w:type="dxa"/>
              <w:left w:w="90" w:type="dxa"/>
              <w:bottom w:w="90" w:type="dxa"/>
              <w:right w:w="90" w:type="dxa"/>
            </w:tcMar>
          </w:tcPr>
          <w:p>
            <w:pPr>
              <w:spacing w:after="40" w:before="20" w:line="242" w:lineRule="auto"/>
            </w:pPr>
            <w:r>
              <w:rPr>
                <w:sz w:val="20"/>
              </w:rPr>
              <w:t>Reglas de correo e IA comercial</w:t>
              <w:br/>
              <w:t>Padre: C06 #811</w:t>
            </w:r>
          </w:p>
        </w:tc>
        <w:tc>
          <w:tcPr>
            <w:tcW w:type="dxa" w:w="1469"/>
            <w:vAlign w:val="center"/>
            <w:tcMar>
              <w:top w:w="90" w:type="dxa"/>
              <w:left w:w="90" w:type="dxa"/>
              <w:bottom w:w="90" w:type="dxa"/>
              <w:right w:w="90" w:type="dxa"/>
            </w:tcMar>
          </w:tcPr>
          <w:p>
            <w:pPr>
              <w:spacing w:after="40" w:before="20" w:line="242" w:lineRule="auto"/>
            </w:pPr>
            <w:r>
              <w:rPr>
                <w:sz w:val="20"/>
              </w:rPr>
              <w:t>New</w:t>
              <w:br/>
              <w:t>→ Pendiente</w:t>
            </w:r>
          </w:p>
        </w:tc>
        <w:tc>
          <w:tcPr>
            <w:tcW w:type="dxa" w:w="5328"/>
            <w:vAlign w:val="center"/>
            <w:tcMar>
              <w:top w:w="90" w:type="dxa"/>
              <w:left w:w="90" w:type="dxa"/>
              <w:bottom w:w="90" w:type="dxa"/>
              <w:right w:w="90" w:type="dxa"/>
            </w:tcMar>
          </w:tcPr>
          <w:p>
            <w:pPr>
              <w:spacing w:after="40" w:before="20" w:line="242" w:lineRule="auto"/>
            </w:pPr>
            <w:r>
              <w:rPr>
                <w:sz w:val="20"/>
              </w:rPr>
              <w:t>No se demuestra clasificación de solicitudes ni creación de oportunidades desde correo. Continúa dependiendo de #956, #972 y del flujo manual validado. La idea de IA para volumetría es otro proyecto y no acredita esta automatización.</w:t>
              <w:br/>
              <w:t>R3: 57:04-57:48; 1:16:57; 52:11-52:32.</w:t>
            </w:r>
          </w:p>
        </w:tc>
      </w:tr>
      <w:tr>
        <w:trPr>
          <w:cantSplit/>
        </w:trPr>
        <w:tc>
          <w:tcPr>
            <w:tcW w:type="dxa" w:w="1138"/>
            <w:vAlign w:val="center"/>
            <w:tcMar>
              <w:top w:w="90" w:type="dxa"/>
              <w:left w:w="90" w:type="dxa"/>
              <w:bottom w:w="90" w:type="dxa"/>
              <w:right w:w="90" w:type="dxa"/>
            </w:tcMar>
          </w:tcPr>
          <w:p>
            <w:pPr>
              <w:spacing w:after="40" w:before="20" w:line="242" w:lineRule="auto"/>
            </w:pPr>
            <w:r>
              <w:rPr>
                <w:sz w:val="20"/>
              </w:rPr>
              <w:t>CILI-13</w:t>
              <w:br/>
              <w:t>#974</w:t>
            </w:r>
          </w:p>
        </w:tc>
        <w:tc>
          <w:tcPr>
            <w:tcW w:type="dxa" w:w="2290"/>
            <w:vAlign w:val="center"/>
            <w:tcMar>
              <w:top w:w="90" w:type="dxa"/>
              <w:left w:w="90" w:type="dxa"/>
              <w:bottom w:w="90" w:type="dxa"/>
              <w:right w:w="90" w:type="dxa"/>
            </w:tcMar>
          </w:tcPr>
          <w:p>
            <w:pPr>
              <w:spacing w:after="40" w:before="20" w:line="242" w:lineRule="auto"/>
            </w:pPr>
            <w:r>
              <w:rPr>
                <w:sz w:val="20"/>
              </w:rPr>
              <w:t>Grabación, minuta y seguimiento</w:t>
              <w:br/>
              <w:t>Padre: G03 #795</w:t>
            </w:r>
          </w:p>
        </w:tc>
        <w:tc>
          <w:tcPr>
            <w:tcW w:type="dxa" w:w="1469"/>
            <w:vAlign w:val="center"/>
            <w:tcMar>
              <w:top w:w="90" w:type="dxa"/>
              <w:left w:w="90" w:type="dxa"/>
              <w:bottom w:w="90" w:type="dxa"/>
              <w:right w:w="90" w:type="dxa"/>
            </w:tcMar>
          </w:tcPr>
          <w:p>
            <w:pPr>
              <w:spacing w:after="40" w:before="20" w:line="242" w:lineRule="auto"/>
            </w:pPr>
            <w:r>
              <w:rPr>
                <w:sz w:val="20"/>
              </w:rPr>
              <w:t>New</w:t>
              <w:br/>
              <w:t>→ Parcial</w:t>
            </w:r>
          </w:p>
        </w:tc>
        <w:tc>
          <w:tcPr>
            <w:tcW w:type="dxa" w:w="5328"/>
            <w:vAlign w:val="center"/>
            <w:tcMar>
              <w:top w:w="90" w:type="dxa"/>
              <w:left w:w="90" w:type="dxa"/>
              <w:bottom w:w="90" w:type="dxa"/>
              <w:right w:w="90" w:type="dxa"/>
            </w:tcMar>
          </w:tcPr>
          <w:p>
            <w:pPr>
              <w:spacing w:after="40" w:before="20" w:line="242" w:lineRule="auto"/>
            </w:pPr>
            <w:r>
              <w:rPr>
                <w:sz w:val="20"/>
              </w:rPr>
              <w:t>La revisión del 30/10 se realizó. Arlex vuelve a pedir acceso al video y Jorge ofrece compartirlo; no se confirma en la transcripción la recepción/apertura. Conservar abierta la entrega de evidencias y añadir la coordinación del lunes, sin reactivar #895.</w:t>
              <w:br/>
              <w:t>R3: 1:02:45-1:03:05; 1:41:12-1:43:13.</w:t>
            </w:r>
          </w:p>
        </w:tc>
      </w:tr>
    </w:tbl>
    <w:p>
      <w:pPr>
        <w:spacing w:after="20"/>
      </w:pPr>
    </w:p>
    <w:p>
      <w:pPr>
        <w:pStyle w:val="Heading1"/>
      </w:pPr>
      <w:r>
        <w:t>3. Pendientes nuevos que se propone registrar</w:t>
      </w:r>
    </w:p>
    <w:p>
      <w:r>
        <w:t>Los códigos siguientes son de esta minuta; todavía no son IDs de Odoo. Se propone usar nombres [R3][CMR-01] o [R3][CILI-01], manteniendo las subtareas R2 y su historial. Los responsables no expresamente nombrados como ejecutores son propuestas para asignar al autorizar; no asignaciones realizadas.</w:t>
      </w:r>
    </w:p>
    <w:p>
      <w:pPr>
        <w:pStyle w:val="Heading2"/>
      </w:pPr>
      <w:r>
        <w:t>R3-CMR-01 | Entregar manual de identidad y recursos de marca</w:t>
      </w:r>
    </w:p>
    <w:p>
      <w:r>
        <w:rPr>
          <w:b/>
        </w:rPr>
        <w:t>Ubicación:</w:t>
      </w:r>
      <w:r>
        <w:t xml:space="preserve"> C02 #807 - Clientes, oportunidades, ejemplos, correo y catálogos.</w:t>
      </w:r>
    </w:p>
    <w:p>
      <w:r>
        <w:rPr>
          <w:b/>
        </w:rPr>
        <w:t>Responsable:</w:t>
      </w:r>
      <w:r>
        <w:t xml:space="preserve"> Mónica (compromiso expreso).</w:t>
      </w:r>
    </w:p>
    <w:p>
      <w:r>
        <w:t>Solicitar a quien gestiona la marca el manual de identidad y compartirlo con CiLi, junto con los recursos que correspondan para reproducir la presentación de CMR.</w:t>
      </w:r>
    </w:p>
    <w:p>
      <w:r>
        <w:rPr>
          <w:b/>
        </w:rPr>
        <w:t>Cierre esperado:</w:t>
      </w:r>
      <w:r>
        <w:t xml:space="preserve"> CiLi dispone del manual y recursos legibles para aplicar logo, colores y datos al formato. Se utiliza en #968; no abre una segunda tarea de diseño de cotizaciones.</w:t>
      </w:r>
    </w:p>
    <w:p>
      <w:pPr>
        <w:pStyle w:val="Caption"/>
      </w:pPr>
      <w:r>
        <w:t>Base: Compromiso expreso. R3 23:38-24:22. Fecha individual: por acordar.</w:t>
      </w:r>
    </w:p>
    <w:p>
      <w:pPr>
        <w:pStyle w:val="Heading2"/>
      </w:pPr>
      <w:r>
        <w:t>R3-CMR-02 | Cambiar la contraseña mostrada durante la compra del dominio</w:t>
      </w:r>
    </w:p>
    <w:p>
      <w:r>
        <w:rPr>
          <w:b/>
        </w:rPr>
        <w:t>Ubicación:</w:t>
      </w:r>
      <w:r>
        <w:t xml:space="preserve"> I04 #803 - HTTPS, roles, respaldo y prueba de restauración.</w:t>
      </w:r>
    </w:p>
    <w:p>
      <w:r>
        <w:rPr>
          <w:b/>
        </w:rPr>
        <w:t>Responsable:</w:t>
      </w:r>
      <w:r>
        <w:t xml:space="preserve"> Mónica (compromiso expreso).</w:t>
      </w:r>
    </w:p>
    <w:p>
      <w:r>
        <w:t>Cambiar la contraseña que pudo quedar visible durante la sesión grabada y conservar el control de la cuenta del dominio en CMR. No incluir la nueva contraseña en notas, minuta ni tareas.</w:t>
      </w:r>
    </w:p>
    <w:p>
      <w:r>
        <w:rPr>
          <w:b/>
        </w:rPr>
        <w:t>Cierre esperado:</w:t>
      </w:r>
      <w:r>
        <w:t xml:space="preserve"> Confirmación de cambio y acceso de CMR a su cuenta, sin registrar credenciales. No hay confirmación de este cambio dentro de la transcripción.</w:t>
      </w:r>
    </w:p>
    <w:p>
      <w:pPr>
        <w:pStyle w:val="Caption"/>
      </w:pPr>
      <w:r>
        <w:t>Base: Compromiso expreso. R3 1:32:07-1:32:49. Fecha individual: por acordar.</w:t>
      </w:r>
    </w:p>
    <w:p>
      <w:pPr>
        <w:pStyle w:val="Heading2"/>
      </w:pPr>
      <w:r>
        <w:t>R3-CILI-01 | Cambiar plano urbanístico por plano de sembrado</w:t>
      </w:r>
    </w:p>
    <w:p>
      <w:r>
        <w:rPr>
          <w:b/>
        </w:rPr>
        <w:t>Ubicación:</w:t>
      </w:r>
      <w:r>
        <w:t xml:space="preserve"> C08 #813 - Ajustes UAT, permisos y salida CRM.</w:t>
      </w:r>
    </w:p>
    <w:p>
      <w:r>
        <w:rPr>
          <w:b/>
        </w:rPr>
        <w:t>Responsable:</w:t>
      </w:r>
      <w:r>
        <w:t xml:space="preserve"> Rodrigo; validación de Arlex (propuesta de asignación).</w:t>
      </w:r>
    </w:p>
    <w:p>
      <w:r>
        <w:t>Aplicar la corrección de nomenclatura solicitada por Arlex en el ESP-TEC. Confirmar con CMR la denominación vigente y mantenerla consistente en los requisitos relacionados.</w:t>
      </w:r>
    </w:p>
    <w:p>
      <w:r>
        <w:rPr>
          <w:b/>
        </w:rPr>
        <w:t>Cierre esperado:</w:t>
      </w:r>
      <w:r>
        <w:t xml:space="preserve"> El formulario y las referencias aplicables muestran plano de sembrado. Ajuste ligado a #962, sin reabrir la parametrización base ya terminada; validación de campos en #958.</w:t>
      </w:r>
    </w:p>
    <w:p>
      <w:pPr>
        <w:pStyle w:val="Caption"/>
      </w:pPr>
      <w:r>
        <w:t>Base: Solicitud explícita; no se demuestra aplicada. R3 8:26-9:02. Fecha individual: por acordar.</w:t>
      </w:r>
    </w:p>
    <w:p>
      <w:pPr>
        <w:pStyle w:val="Heading2"/>
      </w:pPr>
      <w:r>
        <w:t>R3-CILI-02 | Configurar la opción de cotización para exportación</w:t>
      </w:r>
    </w:p>
    <w:p>
      <w:r>
        <w:rPr>
          <w:b/>
        </w:rPr>
        <w:t>Ubicación:</w:t>
      </w:r>
      <w:r>
        <w:t xml:space="preserve"> C05 #810 - Cotizaciones, pedidos, versiones y traspaso.</w:t>
      </w:r>
    </w:p>
    <w:p>
      <w:r>
        <w:rPr>
          <w:b/>
        </w:rPr>
        <w:t>Responsable:</w:t>
      </w:r>
      <w:r>
        <w:t xml:space="preserve"> Rodrigo; revisión de Marco y Mónica.</w:t>
      </w:r>
    </w:p>
    <w:p>
      <w:r>
        <w:t>Habilitar el tratamiento de cotizaciones de exportación solicitado por Mónica, que requiere cotizar sin el impuesto del ejemplo. Separar esta opción de simplemente ocultar la columna de precios o impuestos.</w:t>
      </w:r>
    </w:p>
    <w:p>
      <w:r>
        <w:rPr>
          <w:b/>
        </w:rPr>
        <w:t>Cierre esperado:</w:t>
      </w:r>
      <w:r>
        <w:t xml:space="preserve"> CMR valida un caso nacional y uno de exportación con sus importes y documento de salida. Esta minuta registra el requerimiento comercial; no determina por sí misma el tratamiento fiscal aplicable.</w:t>
      </w:r>
    </w:p>
    <w:p>
      <w:pPr>
        <w:pStyle w:val="Caption"/>
      </w:pPr>
      <w:r>
        <w:t>Base: Requerimiento aceptado para contemplar. R3 13:21-13:50. Fecha individual: por acordar.</w:t>
      </w:r>
    </w:p>
    <w:p>
      <w:pPr>
        <w:pStyle w:val="Heading2"/>
      </w:pPr>
      <w:r>
        <w:t>R3-CILI-03 | Habilitar USD/MXN y validar tipo de cambio oficial diario</w:t>
      </w:r>
    </w:p>
    <w:p>
      <w:r>
        <w:rPr>
          <w:b/>
        </w:rPr>
        <w:t>Ubicación:</w:t>
      </w:r>
      <w:r>
        <w:t xml:space="preserve"> C05 #810 - Cotizaciones, pedidos, versiones y traspaso.</w:t>
      </w:r>
    </w:p>
    <w:p>
      <w:r>
        <w:rPr>
          <w:b/>
        </w:rPr>
        <w:t>Responsable:</w:t>
      </w:r>
      <w:r>
        <w:t xml:space="preserve"> Rodrigo y Marco; validación de Mónica.</w:t>
      </w:r>
    </w:p>
    <w:p>
      <w:r>
        <w:t>Completar las listas/conversión en dólares y pesos y confirmar la moneda base. Revisar la conexión/token de Banco de México: durante la demostración apareció un error y la tasa inicial era manual. Contrastar con la referencia del Diario Oficial usada por CMR.</w:t>
      </w:r>
    </w:p>
    <w:p>
      <w:r>
        <w:rPr>
          <w:b/>
        </w:rPr>
        <w:t>Cierre esperado:</w:t>
      </w:r>
      <w:r>
        <w:t xml:space="preserve"> Una prueba fechada concilia tasa, moneda, precios y totales con lo validado por Mónica. No considerar cumplida la actualización automática por haber seleccionado un proveedor o mostrado una tasa de ejemplo.</w:t>
      </w:r>
    </w:p>
    <w:p>
      <w:pPr>
        <w:pStyle w:val="Caption"/>
      </w:pPr>
      <w:r>
        <w:t>Base: Requerimiento y corrección pendientes. R3 13:56-20:17. Fecha individual: por acordar.</w:t>
      </w:r>
    </w:p>
    <w:p>
      <w:pPr>
        <w:pStyle w:val="Heading2"/>
      </w:pPr>
      <w:r>
        <w:t>R3-CILI-04 | Generar PDF del ESP-TEC desde la oportunidad</w:t>
      </w:r>
    </w:p>
    <w:p>
      <w:r>
        <w:rPr>
          <w:b/>
        </w:rPr>
        <w:t>Ubicación:</w:t>
      </w:r>
      <w:r>
        <w:t xml:space="preserve"> C05 #810 - Cotizaciones, pedidos, versiones y traspaso.</w:t>
      </w:r>
    </w:p>
    <w:p>
      <w:r>
        <w:rPr>
          <w:b/>
        </w:rPr>
        <w:t>Responsable:</w:t>
      </w:r>
      <w:r>
        <w:t xml:space="preserve"> Rodrigo; validación de Mónica y Arlex.</w:t>
      </w:r>
    </w:p>
    <w:p>
      <w:r>
        <w:t>Agregar una salida PDF de las especificaciones capturadas. Vincular el documento con la ficha y el momento de revisión correspondiente. El PDF del ESP-TEC es distinto de la personalización del PDF de cotización en #968.</w:t>
      </w:r>
    </w:p>
    <w:p>
      <w:r>
        <w:rPr>
          <w:b/>
        </w:rPr>
        <w:t>Cierre esperado:</w:t>
      </w:r>
      <w:r>
        <w:t xml:space="preserve"> La oportunidad genera un PDF legible y consistente con la captura. La exportación no equivale a firma del cliente ni a liberación final del Shell Plan; esos controles se mantienen en #960/#969.</w:t>
      </w:r>
    </w:p>
    <w:p>
      <w:pPr>
        <w:pStyle w:val="Caption"/>
      </w:pPr>
      <w:r>
        <w:t>Base: Solicitud y compromiso expresos. R3 1:22:15-1:24:06. Fecha individual: por acordar.</w:t>
      </w:r>
    </w:p>
    <w:p>
      <w:pPr>
        <w:pStyle w:val="Heading2"/>
      </w:pPr>
      <w:r>
        <w:t>R3-CILI-05 | Revisar el SIPOC de entradas y salidas de volumetría</w:t>
      </w:r>
    </w:p>
    <w:p>
      <w:r>
        <w:rPr>
          <w:b/>
        </w:rPr>
        <w:t>Ubicación:</w:t>
      </w:r>
      <w:r>
        <w:t xml:space="preserve"> G07 #799 - Arquitectura funcional, flujos TO-BE y reglas.</w:t>
      </w:r>
    </w:p>
    <w:p>
      <w:r>
        <w:rPr>
          <w:b/>
        </w:rPr>
        <w:t>Responsable:</w:t>
      </w:r>
      <w:r>
        <w:t xml:space="preserve"> Jorge con Rodrigo; revisión funcional de Marco.</w:t>
      </w:r>
    </w:p>
    <w:p>
      <w:r>
        <w:t>Mostrar a Rodrigo el SIPOC que mapea lo que recibe el proyectista y lo que devuelve. Documentar su correspondencia con las precisiones de la reunión: planos originales del cliente, evidencia coloreada interna, metros para Comercial y revisión del coordinador.</w:t>
      </w:r>
    </w:p>
    <w:p>
      <w:r>
        <w:rPr>
          <w:b/>
        </w:rPr>
        <w:t>Cierre esperado:</w:t>
      </w:r>
      <w:r>
        <w:t xml:space="preserve"> Entradas, salidas y responsables quedan aclarados y referenciados en #965/#967. No duplica la programación del traspaso, que continúa en esas tareas.</w:t>
      </w:r>
    </w:p>
    <w:p>
      <w:pPr>
        <w:pStyle w:val="Caption"/>
      </w:pPr>
      <w:r>
        <w:t>Base: Encargo expreso a Jorge. R3 47:24-47:54; 48:54-51:53. Fecha individual: por acordar.</w:t>
      </w:r>
    </w:p>
    <w:p>
      <w:pPr>
        <w:pStyle w:val="Heading2"/>
      </w:pPr>
      <w:r>
        <w:t>R3-CILI-06 | Diagnosticar lentitud de acceso y confirmar estabilidad</w:t>
      </w:r>
    </w:p>
    <w:p>
      <w:r>
        <w:rPr>
          <w:b/>
        </w:rPr>
        <w:t>Ubicación:</w:t>
      </w:r>
      <w:r>
        <w:t xml:space="preserve"> I02 #801 - Provisionar hosting, red, DNS y accesos.</w:t>
      </w:r>
    </w:p>
    <w:p>
      <w:r>
        <w:rPr>
          <w:b/>
        </w:rPr>
        <w:t>Responsable:</w:t>
      </w:r>
      <w:r>
        <w:t xml:space="preserve"> Rodrigo, con apoyo de Wachi; validan Mónica y Arlex.</w:t>
      </w:r>
    </w:p>
    <w:p>
      <w:r>
        <w:t>Revisar salud del servidor, red, carga de módulos y posible efecto del túnel, sin dar por probada una causa. Repetir el acceso desde los equipos de CMR y comunicar que pueden iniciar las pruebas.</w:t>
      </w:r>
    </w:p>
    <w:p>
      <w:r>
        <w:rPr>
          <w:b/>
        </w:rPr>
        <w:t>Cierre esperado:</w:t>
      </w:r>
      <w:r>
        <w:t xml:space="preserve"> Accesos de Mónica y Arlex comprobados de forma repetible y resultado documentado. La entrada puntual durante la sesión no demuestra resuelta la lentitud. CMR solicitó confirmación antes de probar el lunes.</w:t>
      </w:r>
    </w:p>
    <w:p>
      <w:pPr>
        <w:pStyle w:val="Caption"/>
      </w:pPr>
      <w:r>
        <w:t>Base: Incidencia y seguimiento expresos. R3 58:55-1:06:56; 1:12:16-1:14:33. Fecha individual: por acordar.</w:t>
      </w:r>
    </w:p>
    <w:p>
      <w:pPr>
        <w:pStyle w:val="Heading2"/>
      </w:pPr>
      <w:r>
        <w:t>R3-CILI-07 | Terminar conexión del dominio y validar acceso HTTPS</w:t>
      </w:r>
    </w:p>
    <w:p>
      <w:r>
        <w:rPr>
          <w:b/>
        </w:rPr>
        <w:t>Ubicación:</w:t>
      </w:r>
      <w:r>
        <w:t xml:space="preserve"> I02 #801 - Provisionar hosting, red, DNS y accesos.</w:t>
      </w:r>
    </w:p>
    <w:p>
      <w:r>
        <w:rPr>
          <w:b/>
        </w:rPr>
        <w:t>Responsable:</w:t>
      </w:r>
      <w:r>
        <w:t xml:space="preserve"> Rodrigo; apoyo de Mónica para la cuenta del dominio.</w:t>
      </w:r>
    </w:p>
    <w:p>
      <w:r>
        <w:t>Completar el trabajo del servidor posterior al registro A guardado durante la reunión y verificar el acceso por el dominio propio. Confirmar el nombre exacto en el panel o comprobante; no inferirlo de las variantes dictadas en la transcripción.</w:t>
      </w:r>
    </w:p>
    <w:p>
      <w:r>
        <w:rPr>
          <w:b/>
        </w:rPr>
        <w:t>Cierre esperado:</w:t>
      </w:r>
      <w:r>
        <w:t xml:space="preserve"> Dominio exacto documentado, acceso a la instancia correcta y HTTPS verificados con CMR. Relacionar la evidencia con I04 #803, sin duplicar la compra del dominio ni cerrar todos los controles de seguridad.</w:t>
      </w:r>
    </w:p>
    <w:p>
      <w:pPr>
        <w:pStyle w:val="Caption"/>
      </w:pPr>
      <w:r>
        <w:t>Base: Continuación técnica expresamente asumida. R3 1:33:03-1:33:40; 1:37:31-1:39:46. Fecha individual: por acordar.</w:t>
      </w:r>
    </w:p>
    <w:p>
      <w:pPr>
        <w:pStyle w:val="Heading1"/>
      </w:pPr>
      <w:r>
        <w:t>4. Evidencias R3 que no requieren duplicar tareas</w:t>
      </w:r>
    </w:p>
    <w:tbl>
      <w:tblPr>
        <w:tblW w:type="auto" w:w="0"/>
        <w:jc w:val="center"/>
        <w:tblLayout w:type="fixed"/>
        <w:tblLook w:firstColumn="1" w:firstRow="1" w:lastColumn="0" w:lastRow="0" w:noHBand="0" w:noVBand="1" w:val="04A0"/>
        <w:tblBorders>
          <w:top w:val="nil"/>
          <w:left w:val="nil"/>
          <w:bottom w:val="nil"/>
          <w:right w:val="nil"/>
          <w:insideV w:val="nil"/>
          <w:insideH w:val="single" w:sz="3" w:color="D6E1E4"/>
        </w:tblBorders>
      </w:tblPr>
      <w:tblGrid>
        <w:gridCol w:w="2952"/>
        <w:gridCol w:w="7272"/>
      </w:tblGrid>
      <w:tr>
        <w:trPr>
          <w:cantSplit/>
          <w:tblHeader/>
        </w:trPr>
        <w:tc>
          <w:tcPr>
            <w:tcW w:type="dxa" w:w="2952"/>
            <w:vAlign w:val="center"/>
            <w:tcMar>
              <w:top w:w="90" w:type="dxa"/>
              <w:left w:w="90" w:type="dxa"/>
              <w:bottom w:w="90" w:type="dxa"/>
              <w:right w:w="90" w:type="dxa"/>
            </w:tcMar>
            <w:shd w:fill="153D4A"/>
          </w:tcPr>
          <w:p>
            <w:pPr>
              <w:spacing w:after="40" w:before="20" w:line="242" w:lineRule="auto"/>
            </w:pPr>
            <w:r>
              <w:rPr>
                <w:b/>
                <w:color w:val="FFFFFF"/>
                <w:sz w:val="21"/>
              </w:rPr>
              <w:t>Hecho de la sesión</w:t>
            </w:r>
          </w:p>
        </w:tc>
        <w:tc>
          <w:tcPr>
            <w:tcW w:type="dxa" w:w="7272"/>
            <w:vAlign w:val="center"/>
            <w:tcMar>
              <w:top w:w="90" w:type="dxa"/>
              <w:left w:w="90" w:type="dxa"/>
              <w:bottom w:w="90" w:type="dxa"/>
              <w:right w:w="90" w:type="dxa"/>
            </w:tcMar>
            <w:shd w:fill="153D4A"/>
          </w:tcPr>
          <w:p>
            <w:pPr>
              <w:spacing w:after="40" w:before="20" w:line="242" w:lineRule="auto"/>
            </w:pPr>
            <w:r>
              <w:rPr>
                <w:b/>
                <w:color w:val="FFFFFF"/>
                <w:sz w:val="21"/>
              </w:rPr>
              <w:t>Registro de evidencia propuesto / límite</w:t>
            </w:r>
          </w:p>
        </w:tc>
      </w:tr>
      <w:tr>
        <w:trPr>
          <w:cantSplit/>
        </w:trPr>
        <w:tc>
          <w:tcPr>
            <w:tcW w:type="dxa" w:w="2952"/>
            <w:vAlign w:val="center"/>
            <w:tcMar>
              <w:top w:w="90" w:type="dxa"/>
              <w:left w:w="90" w:type="dxa"/>
              <w:bottom w:w="90" w:type="dxa"/>
              <w:right w:w="90" w:type="dxa"/>
            </w:tcMar>
          </w:tcPr>
          <w:p>
            <w:pPr>
              <w:spacing w:after="40" w:before="20" w:line="242" w:lineRule="auto"/>
            </w:pPr>
            <w:r>
              <w:rPr>
                <w:sz w:val="21"/>
              </w:rPr>
              <w:t>Compra del dominio y registro A guardado.</w:t>
              <w:br/>
              <w:t>R3 1:36:23-1:39:46.</w:t>
            </w:r>
          </w:p>
        </w:tc>
        <w:tc>
          <w:tcPr>
            <w:tcW w:type="dxa" w:w="7272"/>
            <w:vAlign w:val="center"/>
            <w:tcMar>
              <w:top w:w="90" w:type="dxa"/>
              <w:left w:w="90" w:type="dxa"/>
              <w:bottom w:w="90" w:type="dxa"/>
              <w:right w:w="90" w:type="dxa"/>
            </w:tcMar>
          </w:tcPr>
          <w:p>
            <w:pPr>
              <w:spacing w:after="40" w:before="20" w:line="242" w:lineRule="auto"/>
            </w:pPr>
            <w:r>
              <w:rPr>
                <w:sz w:val="21"/>
              </w:rPr>
              <w:t>Dejar constancia en I06 #805 (adquisición) e I02 #801 (DNS). No volver a pedir la compra. No cerrar I02/I04: falta acceso definitivo, HTTPS y otros controles. La transcripción no sustituye el comprobante ni fija de forma inequívoca el nombre exacto.</w:t>
            </w:r>
          </w:p>
        </w:tc>
      </w:tr>
      <w:tr>
        <w:trPr>
          <w:cantSplit/>
        </w:trPr>
        <w:tc>
          <w:tcPr>
            <w:tcW w:type="dxa" w:w="2952"/>
            <w:vAlign w:val="center"/>
            <w:tcMar>
              <w:top w:w="90" w:type="dxa"/>
              <w:left w:w="90" w:type="dxa"/>
              <w:bottom w:w="90" w:type="dxa"/>
              <w:right w:w="90" w:type="dxa"/>
            </w:tcMar>
          </w:tcPr>
          <w:p>
            <w:pPr>
              <w:spacing w:after="40" w:before="20" w:line="242" w:lineRule="auto"/>
            </w:pPr>
            <w:r>
              <w:rPr>
                <w:sz w:val="21"/>
              </w:rPr>
              <w:t>Notificaciones web y llamada interna probadas.</w:t>
              <w:br/>
              <w:t>R3 1:07:17-1:08:18; 1:16:38-1:19:17.</w:t>
            </w:r>
          </w:p>
        </w:tc>
        <w:tc>
          <w:tcPr>
            <w:tcW w:type="dxa" w:w="7272"/>
            <w:vAlign w:val="center"/>
            <w:tcMar>
              <w:top w:w="90" w:type="dxa"/>
              <w:left w:w="90" w:type="dxa"/>
              <w:bottom w:w="90" w:type="dxa"/>
              <w:right w:w="90" w:type="dxa"/>
            </w:tcMar>
          </w:tcPr>
          <w:p>
            <w:pPr>
              <w:spacing w:after="40" w:before="20" w:line="242" w:lineRule="auto"/>
            </w:pPr>
            <w:r>
              <w:rPr>
                <w:sz w:val="21"/>
              </w:rPr>
              <w:t>Registrar el ejercicio en G03 #795. Mónica confirma recibir la notificación y se realiza una llamada. No equivale a correo conectado, notificaciones móviles probadas ni capacitación completa por roles.</w:t>
            </w:r>
          </w:p>
        </w:tc>
      </w:tr>
      <w:tr>
        <w:trPr>
          <w:cantSplit/>
        </w:trPr>
        <w:tc>
          <w:tcPr>
            <w:tcW w:type="dxa" w:w="2952"/>
            <w:vAlign w:val="center"/>
            <w:tcMar>
              <w:top w:w="90" w:type="dxa"/>
              <w:left w:w="90" w:type="dxa"/>
              <w:bottom w:w="90" w:type="dxa"/>
              <w:right w:w="90" w:type="dxa"/>
            </w:tcMar>
          </w:tcPr>
          <w:p>
            <w:pPr>
              <w:spacing w:after="40" w:before="20" w:line="242" w:lineRule="auto"/>
            </w:pPr>
            <w:r>
              <w:rPr>
                <w:sz w:val="21"/>
              </w:rPr>
              <w:t>Grupos de cotizaciones e Ingeniería creados por Mónica.</w:t>
              <w:br/>
              <w:t>R3 1:10:17-1:12:09; 1:14:35-1:14:46.</w:t>
            </w:r>
          </w:p>
        </w:tc>
        <w:tc>
          <w:tcPr>
            <w:tcW w:type="dxa" w:w="7272"/>
            <w:vAlign w:val="center"/>
            <w:tcMar>
              <w:top w:w="90" w:type="dxa"/>
              <w:left w:w="90" w:type="dxa"/>
              <w:bottom w:w="90" w:type="dxa"/>
              <w:right w:w="90" w:type="dxa"/>
            </w:tcMar>
          </w:tcPr>
          <w:p>
            <w:pPr>
              <w:spacing w:after="40" w:before="20" w:line="242" w:lineRule="auto"/>
            </w:pPr>
            <w:r>
              <w:rPr>
                <w:sz w:val="21"/>
              </w:rPr>
              <w:t>Registrar lo realizado y validar miembros/visibilidad dentro de #964. No afirmar que el canal anterior quedó privado ni que se eliminó su historial.</w:t>
            </w:r>
          </w:p>
        </w:tc>
      </w:tr>
      <w:tr>
        <w:trPr>
          <w:cantSplit/>
        </w:trPr>
        <w:tc>
          <w:tcPr>
            <w:tcW w:type="dxa" w:w="2952"/>
            <w:vAlign w:val="center"/>
            <w:tcMar>
              <w:top w:w="90" w:type="dxa"/>
              <w:left w:w="90" w:type="dxa"/>
              <w:bottom w:w="90" w:type="dxa"/>
              <w:right w:w="90" w:type="dxa"/>
            </w:tcMar>
          </w:tcPr>
          <w:p>
            <w:pPr>
              <w:spacing w:after="40" w:before="20" w:line="242" w:lineRule="auto"/>
            </w:pPr>
            <w:r>
              <w:rPr>
                <w:sz w:val="21"/>
              </w:rPr>
              <w:t>Guía para iPhone presentada.</w:t>
              <w:br/>
              <w:t>R3 1:19:23-1:20:48.</w:t>
            </w:r>
          </w:p>
        </w:tc>
        <w:tc>
          <w:tcPr>
            <w:tcW w:type="dxa" w:w="7272"/>
            <w:vAlign w:val="center"/>
            <w:tcMar>
              <w:top w:w="90" w:type="dxa"/>
              <w:left w:w="90" w:type="dxa"/>
              <w:bottom w:w="90" w:type="dxa"/>
              <w:right w:w="90" w:type="dxa"/>
            </w:tcMar>
          </w:tcPr>
          <w:p>
            <w:pPr>
              <w:spacing w:after="40" w:before="20" w:line="242" w:lineRule="auto"/>
            </w:pPr>
            <w:r>
              <w:rPr>
                <w:sz w:val="21"/>
              </w:rPr>
              <w:t>Registrar como orientación proporcionada. No consta una prueba completa de instalación/notificación en móvil; no se comprometió una guía Android.</w:t>
            </w:r>
          </w:p>
        </w:tc>
      </w:tr>
    </w:tbl>
    <w:p>
      <w:pPr>
        <w:spacing w:after="20"/>
      </w:pPr>
    </w:p>
    <w:p>
      <w:pPr>
        <w:pStyle w:val="Heading1"/>
      </w:pPr>
      <w:r>
        <w:t>5. Forma de aplicar los cambios, previa autorización</w:t>
      </w:r>
    </w:p>
    <w:p>
      <w:r>
        <w:rPr>
          <w:b/>
        </w:rPr>
        <w:t>Cierres.</w:t>
      </w:r>
      <w:r>
        <w:t xml:space="preserve"> #955 y #971 pasarían a estado Hecha (1_done) y columna Done (etapa 162), con evidencia fechada y alcance del cierre. #962 conservaría 1_done y se alinearía de In Progress a Done, sin contarlo como un nuevo cierre.</w:t>
      </w:r>
    </w:p>
    <w:p>
      <w:r>
        <w:rPr>
          <w:b/>
        </w:rPr>
        <w:t>Avances.</w:t>
      </w:r>
      <w:r>
        <w:t xml:space="preserve"> #957, #958, #959, #960, #961, #963, #965, #966, #967, #968, #969, #970 y #974 continuarían abiertos. La propuesta es ubicarlos en In Progress (etapa 161) y documentar los puntos terminados y el trabajo restante, sin porcentajes inventados. #963 ya está en esa columna.</w:t>
      </w:r>
    </w:p>
    <w:p>
      <w:r>
        <w:rPr>
          <w:b/>
        </w:rPr>
        <w:t>Pendientes sin cierre.</w:t>
      </w:r>
      <w:r>
        <w:t xml:space="preserve"> #956, #964, #972 y #973 se conservarían abiertos en su columna actual, con la evidencia y dependencia correspondiente. No se marcarían hechos por la compra del dominio, la creación de chats o una demostración general.</w:t>
      </w:r>
    </w:p>
    <w:p>
      <w:r>
        <w:rPr>
          <w:b/>
        </w:rPr>
        <w:t>Nuevas subtareas.</w:t>
      </w:r>
      <w:r>
        <w:t xml:space="preserve"> Crear las nueve acciones R3 bajo los padres indicados; describir entregable, criterio de cierre, responsable propuesto, relaciones y marca de tiempo. Revalidar que no existan antes de crearlas. La consulta actual no devolvió registros con [R3].</w:t>
      </w:r>
    </w:p>
    <w:p>
      <w:r>
        <w:rPr>
          <w:b/>
        </w:rPr>
        <w:t>Registro central.</w:t>
      </w:r>
      <w:r>
        <w:t xml:space="preserve"> Publicar esta minuta y un índice de cierres, avances y nuevas tareas en G03 #795. En cada tarea modificada, conservar la descripción R2 y añadir una nota/actualización R3; no borrar el criterio original de aceptación ni sus antecedentes.</w:t>
      </w:r>
    </w:p>
    <w:p>
      <w:r>
        <w:rPr>
          <w:b/>
        </w:rPr>
        <w:t>Fechas y responsables.</w:t>
      </w:r>
      <w:r>
        <w:t xml:space="preserve"> No modificar automáticamente los vencimientos del plan ni heredar fechas a las nuevas subtareas. Resolver los usuarios antes de asignar; preservar las asignaciones actuales de Rodrigo en #962/#971. La prueba del lunes es una referencia de agenda, no un plazo de terminación universal.</w:t>
      </w:r>
    </w:p>
    <w:p>
      <w:r>
        <w:rPr>
          <w:b/>
        </w:rPr>
        <w:t>Tareas padre y antecedentes.</w:t>
      </w:r>
      <w:r>
        <w:t xml:space="preserve"> C01/C02/C03/C05/C07/C09, I02/I04/I06/I07 y los frentes de Ingeniería no quedarían cerrados por esta minuta. No mover ni cerrar en bloque #893/#894, no reactivar #895 y no duplicar el expediente documental de #896. El mínimo de Ingeniería necesario para probar el CRM debe coordinarse sin adelantar implícitamente toda su fase.</w:t>
      </w:r>
    </w:p>
    <w:p>
      <w:pPr>
        <w:pStyle w:val="Heading1"/>
      </w:pPr>
      <w:r>
        <w:t>6. Puntos que no son compromisos aprobados de ejecución</w:t>
      </w:r>
    </w:p>
    <w:p>
      <w:r>
        <w:t>La IA para obtener volumetría desde planos se mencionó expresamente como otro proyecto; no se incorporaría como desarrollo comprometido ni como evidencia de IA comercial terminada. El logo del cliente quedó para revisar, no como personalización obligatoria. No hay acuerdo de sincronización completa con SharePoint, exportación a Excel, ampliación pagada del servidor o consumo automático de una bolsa de mejoras. [R3 24:31-25:25; 52:11-52:32; 1:01:22-1:01:42]</w:t>
      </w:r>
    </w:p>
    <w:p>
      <w:r>
        <w:t>Una tasa de ejemplo, una opción de menú o una frase sobre lo que el sistema podría hacer no se consideran prueba de funcionamiento. Las causas de lentitud, la equivalencia de tasas y la configuración final del dominio deben verificarse en sus tareas; no se presuponen resueltas.</w:t>
      </w:r>
    </w:p>
    <w:p>
      <w:pPr>
        <w:pStyle w:val="Heading1"/>
      </w:pPr>
      <w:r>
        <w:t>Fuentes y trazabilidad</w:t>
      </w:r>
    </w:p>
    <w:p>
      <w:r>
        <w:t>R3: Reunión 3 EPR CMR.docx, 30/10/2026, 1:43:34. R2: Minuta_CMR_Reunion_2_y_Match_Odoo.docx, reunión del 28/10/2026; antecedentes de la transcripción Reunión 2 CMR Seguimiento Proyecto.docx. Odoo: consulta del proyecto 51, veinte subtareas [R2] #955-#974, tareas principales visibles, antecedentes #893-#895, búsqueda [R3] y listado de etapas 160/161/162/163. Las decisiones de estado y el desglose R3 son propuestas de seguimiento basadas en esa evidencia.</w:t>
      </w:r>
    </w:p>
    <w:sectPr w:rsidR="00FC693F" w:rsidRPr="0006063C" w:rsidSect="00034616">
      <w:footerReference w:type="default" r:id="rId9"/>
      <w:pgSz w:w="12240" w:h="15840"/>
      <w:pgMar w:top="979"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36B"/>
        <w:sz w:val="18"/>
      </w:rPr>
      <w:t xml:space="preserve">CMR | Reunión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53D4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A677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53D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153D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Calibri" w:hAnsi="Calibri"/>
      <w:i/>
      <w:iCs/>
      <w:color w:val="5263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3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CMR - Minuta Reunion 3 y propuesta de actualizacion Odoo</dc:title>
  <dc:subject>Cruce de acuerdos R2, evidencia R3 y estado actual del proyecto 51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