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val="0"/>
        </w:rPr>
        <w:t>CMR / IMPLEMENTACIÓN ERP</w:t>
      </w:r>
    </w:p>
    <w:p>
      <w:pPr>
        <w:pStyle w:val="Title"/>
      </w:pPr>
      <w:r>
        <w:t>Minuta de seguimiento</w:t>
        <w:br/>
        <w:t>y propuesta de subtareas</w:t>
      </w:r>
    </w:p>
    <w:p>
      <w:pPr>
        <w:pStyle w:val="Subtitle"/>
      </w:pPr>
      <w:r>
        <w:rPr>
          <w:b w:val="0"/>
        </w:rPr>
        <w:t>Reunión 2 · 28 de octubre de 2026</w:t>
      </w:r>
    </w:p>
    <w:p>
      <w:r>
        <w:rPr>
          <w:b/>
        </w:rPr>
        <w:t>Pendiente de revisión y autorización</w:t>
      </w:r>
    </w:p>
    <w:p>
      <w:r>
        <w:rPr>
          <w:b w:val="0"/>
        </w:rPr>
        <w:t>Proyecto consultado en Odoo: implementacion erp CRM | ID 51.</w:t>
        <w:br/>
        <w:t>Corte de la revisión: 28 de octubre de 2026. Duración de la reunión: 2 h 10 min 50 s.</w:t>
      </w:r>
    </w:p>
    <w:p>
      <w:r>
        <w:rPr>
          <w:b w:val="0"/>
        </w:rPr>
        <w:t>Participantes: Marco Rodríguez, Rodrigo Romero Corvera y Jorge Sevilla, por CiLi; Arlex Cardona, Mónica López y Rafael Pineda, por CMR.</w:t>
      </w:r>
    </w:p>
    <w:p>
      <w:pPr>
        <w:pStyle w:val="Heading1"/>
      </w:pPr>
      <w:r>
        <w:t>Conclusión ejecutiva</w:t>
      </w:r>
    </w:p>
    <w:p>
      <w:r>
        <w:rPr>
          <w:b w:val="0"/>
        </w:rPr>
        <w:t>El siguiente paso es convertir los requisitos técnicos y comerciales en un flujo utilizable: especificaciones en Odoo, trabajo de Ingeniería separado de los importes comerciales y una cotización de prueba. El catálogo y la definición del correo de ventas son los dos insumos que CMR confirmó al cierre.</w:t>
      </w:r>
    </w:p>
    <w:tbl>
      <w:tblPr>
        <w:tblW w:type="auto" w:w="0"/>
        <w:jc w:val="center"/>
        <w:tblLayout w:type="fixed"/>
        <w:tblLook w:firstColumn="1" w:firstRow="1" w:lastColumn="0" w:lastRow="0" w:noHBand="0" w:noVBand="1" w:val="04A0"/>
      </w:tblPr>
      <w:tblGrid>
        <w:gridCol w:w="936"/>
        <w:gridCol w:w="7848"/>
        <w:gridCol w:w="1296"/>
      </w:tblGrid>
      <w:tr>
        <w:trPr>
          <w:tblHeader/>
          <w:cantSplit/>
        </w:trPr>
        <w:tc>
          <w:tcPr>
            <w:tcW w:type="dxa" w:w="936"/>
            <w:vAlign w:val="center"/>
            <w:tcMar>
              <w:top w:w="85" w:type="dxa"/>
              <w:left w:w="85" w:type="dxa"/>
              <w:bottom w:w="85" w:type="dxa"/>
              <w:right w:w="85" w:type="dxa"/>
            </w:tcMar>
            <w:shd w:fill="16364A"/>
          </w:tcPr>
          <w:p>
            <w:pPr>
              <w:spacing w:after="40" w:before="20" w:line="245" w:lineRule="auto"/>
            </w:pPr>
            <w:r>
              <w:rPr>
                <w:b/>
                <w:color w:val="FFFFFF"/>
                <w:sz w:val="20"/>
              </w:rPr>
              <w:t>Parte</w:t>
            </w:r>
          </w:p>
        </w:tc>
        <w:tc>
          <w:tcPr>
            <w:tcW w:type="dxa" w:w="7848"/>
            <w:vAlign w:val="center"/>
            <w:tcMar>
              <w:top w:w="85" w:type="dxa"/>
              <w:left w:w="85" w:type="dxa"/>
              <w:bottom w:w="85" w:type="dxa"/>
              <w:right w:w="85" w:type="dxa"/>
            </w:tcMar>
            <w:shd w:fill="16364A"/>
          </w:tcPr>
          <w:p>
            <w:pPr>
              <w:spacing w:after="40" w:before="20" w:line="245" w:lineRule="auto"/>
            </w:pPr>
            <w:r>
              <w:rPr>
                <w:b/>
                <w:color w:val="FFFFFF"/>
                <w:sz w:val="20"/>
              </w:rPr>
              <w:t>Compromiso explícito de cierre</w:t>
            </w:r>
          </w:p>
        </w:tc>
        <w:tc>
          <w:tcPr>
            <w:tcW w:type="dxa" w:w="1296"/>
            <w:vAlign w:val="center"/>
            <w:tcMar>
              <w:top w:w="85" w:type="dxa"/>
              <w:left w:w="85" w:type="dxa"/>
              <w:bottom w:w="85" w:type="dxa"/>
              <w:right w:w="85" w:type="dxa"/>
            </w:tcMar>
            <w:shd w:fill="16364A"/>
          </w:tcPr>
          <w:p>
            <w:pPr>
              <w:spacing w:after="40" w:before="20" w:line="245" w:lineRule="auto"/>
            </w:pPr>
            <w:r>
              <w:rPr>
                <w:b/>
                <w:color w:val="FFFFFF"/>
                <w:sz w:val="20"/>
              </w:rPr>
              <w:t>Acción</w:t>
            </w:r>
          </w:p>
        </w:tc>
      </w:tr>
      <w:tr>
        <w:trPr>
          <w:cantSplit/>
        </w:trPr>
        <w:tc>
          <w:tcPr>
            <w:tcW w:type="dxa" w:w="936"/>
            <w:vAlign w:val="center"/>
            <w:tcMar>
              <w:top w:w="85" w:type="dxa"/>
              <w:left w:w="85" w:type="dxa"/>
              <w:bottom w:w="85" w:type="dxa"/>
              <w:right w:w="85" w:type="dxa"/>
            </w:tcMar>
          </w:tcPr>
          <w:p>
            <w:pPr>
              <w:spacing w:after="40" w:before="20" w:line="245" w:lineRule="auto"/>
            </w:pPr>
            <w:r>
              <w:rPr>
                <w:b w:val="0"/>
                <w:sz w:val="20"/>
              </w:rPr>
              <w:t>CMR</w:t>
            </w:r>
          </w:p>
        </w:tc>
        <w:tc>
          <w:tcPr>
            <w:tcW w:type="dxa" w:w="7848"/>
            <w:vAlign w:val="center"/>
            <w:tcMar>
              <w:top w:w="85" w:type="dxa"/>
              <w:left w:w="85" w:type="dxa"/>
              <w:bottom w:w="85" w:type="dxa"/>
              <w:right w:w="85" w:type="dxa"/>
            </w:tcMar>
          </w:tcPr>
          <w:p>
            <w:pPr>
              <w:spacing w:after="40" w:before="20" w:line="245" w:lineRule="auto"/>
            </w:pPr>
            <w:r>
              <w:rPr>
                <w:b w:val="0"/>
                <w:sz w:val="20"/>
              </w:rPr>
              <w:t>Preparar el catálogo comercial de productos.</w:t>
            </w:r>
          </w:p>
        </w:tc>
        <w:tc>
          <w:tcPr>
            <w:tcW w:type="dxa" w:w="1296"/>
            <w:vAlign w:val="center"/>
            <w:tcMar>
              <w:top w:w="85" w:type="dxa"/>
              <w:left w:w="85" w:type="dxa"/>
              <w:bottom w:w="85" w:type="dxa"/>
              <w:right w:w="85" w:type="dxa"/>
            </w:tcMar>
          </w:tcPr>
          <w:p>
            <w:pPr>
              <w:spacing w:after="40" w:before="20" w:line="245" w:lineRule="auto"/>
            </w:pPr>
            <w:r>
              <w:rPr>
                <w:b w:val="0"/>
                <w:sz w:val="20"/>
              </w:rPr>
              <w:t>CMR-01</w:t>
            </w:r>
          </w:p>
        </w:tc>
      </w:tr>
      <w:tr>
        <w:trPr>
          <w:cantSplit/>
        </w:trPr>
        <w:tc>
          <w:tcPr>
            <w:tcW w:type="dxa" w:w="936"/>
            <w:vAlign w:val="center"/>
            <w:tcMar>
              <w:top w:w="85" w:type="dxa"/>
              <w:left w:w="85" w:type="dxa"/>
              <w:bottom w:w="85" w:type="dxa"/>
              <w:right w:w="85" w:type="dxa"/>
            </w:tcMar>
          </w:tcPr>
          <w:p>
            <w:pPr>
              <w:spacing w:after="40" w:before="20" w:line="245" w:lineRule="auto"/>
            </w:pPr>
            <w:r>
              <w:rPr>
                <w:b w:val="0"/>
                <w:sz w:val="20"/>
              </w:rPr>
              <w:t>CMR</w:t>
            </w:r>
          </w:p>
        </w:tc>
        <w:tc>
          <w:tcPr>
            <w:tcW w:type="dxa" w:w="7848"/>
            <w:vAlign w:val="center"/>
            <w:tcMar>
              <w:top w:w="85" w:type="dxa"/>
              <w:left w:w="85" w:type="dxa"/>
              <w:bottom w:w="85" w:type="dxa"/>
              <w:right w:w="85" w:type="dxa"/>
            </w:tcMar>
          </w:tcPr>
          <w:p>
            <w:pPr>
              <w:spacing w:after="40" w:before="20" w:line="245" w:lineRule="auto"/>
            </w:pPr>
            <w:r>
              <w:rPr>
                <w:b w:val="0"/>
                <w:sz w:val="20"/>
              </w:rPr>
              <w:t>Definir el correo de ventas/cotizaciones.</w:t>
            </w:r>
          </w:p>
        </w:tc>
        <w:tc>
          <w:tcPr>
            <w:tcW w:type="dxa" w:w="1296"/>
            <w:vAlign w:val="center"/>
            <w:tcMar>
              <w:top w:w="85" w:type="dxa"/>
              <w:left w:w="85" w:type="dxa"/>
              <w:bottom w:w="85" w:type="dxa"/>
              <w:right w:w="85" w:type="dxa"/>
            </w:tcMar>
          </w:tcPr>
          <w:p>
            <w:pPr>
              <w:spacing w:after="40" w:before="20" w:line="245" w:lineRule="auto"/>
            </w:pPr>
            <w:r>
              <w:rPr>
                <w:b w:val="0"/>
                <w:sz w:val="20"/>
              </w:rPr>
              <w:t>CMR-02</w:t>
            </w:r>
          </w:p>
        </w:tc>
      </w:tr>
      <w:tr>
        <w:trPr>
          <w:cantSplit/>
        </w:trPr>
        <w:tc>
          <w:tcPr>
            <w:tcW w:type="dxa" w:w="936"/>
            <w:vAlign w:val="center"/>
            <w:tcMar>
              <w:top w:w="85" w:type="dxa"/>
              <w:left w:w="85" w:type="dxa"/>
              <w:bottom w:w="85" w:type="dxa"/>
              <w:right w:w="85" w:type="dxa"/>
            </w:tcMar>
          </w:tcPr>
          <w:p>
            <w:pPr>
              <w:spacing w:after="40" w:before="20" w:line="245" w:lineRule="auto"/>
            </w:pPr>
            <w:r>
              <w:rPr>
                <w:b w:val="0"/>
                <w:sz w:val="20"/>
              </w:rPr>
              <w:t>CiLi</w:t>
            </w:r>
          </w:p>
        </w:tc>
        <w:tc>
          <w:tcPr>
            <w:tcW w:type="dxa" w:w="7848"/>
            <w:vAlign w:val="center"/>
            <w:tcMar>
              <w:top w:w="85" w:type="dxa"/>
              <w:left w:w="85" w:type="dxa"/>
              <w:bottom w:w="85" w:type="dxa"/>
              <w:right w:w="85" w:type="dxa"/>
            </w:tcMar>
          </w:tcPr>
          <w:p>
            <w:pPr>
              <w:spacing w:after="40" w:before="20" w:line="245" w:lineRule="auto"/>
            </w:pPr>
            <w:r>
              <w:rPr>
                <w:b w:val="0"/>
                <w:sz w:val="20"/>
              </w:rPr>
              <w:t>Parametrizar el documento de especificaciones técnicas en una pestaña.</w:t>
            </w:r>
          </w:p>
        </w:tc>
        <w:tc>
          <w:tcPr>
            <w:tcW w:type="dxa" w:w="1296"/>
            <w:vAlign w:val="center"/>
            <w:tcMar>
              <w:top w:w="85" w:type="dxa"/>
              <w:left w:w="85" w:type="dxa"/>
              <w:bottom w:w="85" w:type="dxa"/>
              <w:right w:w="85" w:type="dxa"/>
            </w:tcMar>
          </w:tcPr>
          <w:p>
            <w:pPr>
              <w:spacing w:after="40" w:before="20" w:line="245" w:lineRule="auto"/>
            </w:pPr>
            <w:r>
              <w:rPr>
                <w:b w:val="0"/>
                <w:sz w:val="20"/>
              </w:rPr>
              <w:t>CILI-01</w:t>
            </w:r>
          </w:p>
        </w:tc>
      </w:tr>
      <w:tr>
        <w:trPr>
          <w:cantSplit/>
        </w:trPr>
        <w:tc>
          <w:tcPr>
            <w:tcW w:type="dxa" w:w="936"/>
            <w:vAlign w:val="center"/>
            <w:tcMar>
              <w:top w:w="85" w:type="dxa"/>
              <w:left w:w="85" w:type="dxa"/>
              <w:bottom w:w="85" w:type="dxa"/>
              <w:right w:w="85" w:type="dxa"/>
            </w:tcMar>
          </w:tcPr>
          <w:p>
            <w:pPr>
              <w:spacing w:after="40" w:before="20" w:line="245" w:lineRule="auto"/>
            </w:pPr>
            <w:r>
              <w:rPr>
                <w:b w:val="0"/>
                <w:sz w:val="20"/>
              </w:rPr>
              <w:t>CiLi</w:t>
            </w:r>
          </w:p>
        </w:tc>
        <w:tc>
          <w:tcPr>
            <w:tcW w:type="dxa" w:w="7848"/>
            <w:vAlign w:val="center"/>
            <w:tcMar>
              <w:top w:w="85" w:type="dxa"/>
              <w:left w:w="85" w:type="dxa"/>
              <w:bottom w:w="85" w:type="dxa"/>
              <w:right w:w="85" w:type="dxa"/>
            </w:tcMar>
          </w:tcPr>
          <w:p>
            <w:pPr>
              <w:spacing w:after="40" w:before="20" w:line="245" w:lineRule="auto"/>
            </w:pPr>
            <w:r>
              <w:rPr>
                <w:b w:val="0"/>
                <w:sz w:val="20"/>
              </w:rPr>
              <w:t>Cargar productos de ejemplo y demostrar la cotización desde Odoo.</w:t>
            </w:r>
          </w:p>
        </w:tc>
        <w:tc>
          <w:tcPr>
            <w:tcW w:type="dxa" w:w="1296"/>
            <w:vAlign w:val="center"/>
            <w:tcMar>
              <w:top w:w="85" w:type="dxa"/>
              <w:left w:w="85" w:type="dxa"/>
              <w:bottom w:w="85" w:type="dxa"/>
              <w:right w:w="85" w:type="dxa"/>
            </w:tcMar>
          </w:tcPr>
          <w:p>
            <w:pPr>
              <w:spacing w:after="40" w:before="20" w:line="245" w:lineRule="auto"/>
            </w:pPr>
            <w:r>
              <w:rPr>
                <w:b w:val="0"/>
                <w:sz w:val="20"/>
              </w:rPr>
              <w:t>CILI-10</w:t>
            </w:r>
          </w:p>
        </w:tc>
      </w:tr>
    </w:tbl>
    <w:p>
      <w:pPr>
        <w:spacing w:after="140"/>
      </w:pPr>
      <w:r>
        <w:rPr>
          <w:b w:val="0"/>
          <w:color w:val="637481"/>
          <w:sz w:val="17"/>
        </w:rPr>
        <w:t>Fuente: Reunión 2, 2:08:39-2:09:40. Los demás pendientes desarrollan requerimientos tratados durante la sesión.</w:t>
      </w:r>
    </w:p>
    <w:p>
      <w:pPr>
        <w:pStyle w:val="Heading1"/>
      </w:pPr>
      <w:r>
        <w:t>Fechas acordadas y criterio de seguimiento</w:t>
      </w:r>
    </w:p>
    <w:p>
      <w:r>
        <w:rPr>
          <w:b w:val="0"/>
        </w:rPr>
        <w:t>CMR trabajará la información con Rafael el jueves 29 de octubre. La siguiente revisión se acordó para el viernes 30 de octubre, a la misma hora; no se fijó una hora numérica en el cierre. Esa revisión no equivale a prometer la terminación de todas las acciones.</w:t>
      </w:r>
    </w:p>
    <w:p>
      <w:r>
        <w:rPr>
          <w:b w:val="0"/>
        </w:rPr>
        <w:t>Se proponen 20 acciones: 7 de CMR y 13 de CiLi. Los referentes personales, el desglose y las tareas padre son una propuesta de ejecución para aprobar; no una nueva asignación ya registrada en Odoo.</w:t>
      </w:r>
    </w:p>
    <w:p>
      <w:pPr>
        <w:spacing w:after="140"/>
      </w:pPr>
      <w:r>
        <w:rPr>
          <w:b w:val="0"/>
          <w:color w:val="637481"/>
          <w:sz w:val="17"/>
        </w:rPr>
        <w:t>Fuentes principales: archivo ESP-TEC, hoja Formato unico; transcripción de la Reunión 2; consulta de tareas y jerarquía del proyecto Odoo 51. No se modificaron Odoo ni los archivos fuente.</w:t>
      </w:r>
    </w:p>
    <w:p>
      <w:r>
        <w:br w:type="page"/>
      </w:r>
    </w:p>
    <w:p>
      <w:pPr>
        <w:pStyle w:val="Heading1"/>
      </w:pPr>
      <w:r>
        <w:t>1. Revisión del formato ESP-TEC</w:t>
      </w:r>
    </w:p>
    <w:p>
      <w:r>
        <w:rPr>
          <w:b w:val="0"/>
        </w:rPr>
        <w:t>Archivo: NºCOTXXX_CLIENTE_PROYECTO_INICXX_2024(ESP-TEC).xls. Hoja: Formato unico. Título: ESPECIFICACIONES TÉCNICAS DE PROYECTO. Código: ET-COT-01-1-24.</w:t>
      </w:r>
    </w:p>
    <w:p>
      <w:r>
        <w:rPr>
          <w:b w:val="0"/>
        </w:rPr>
        <w:t>Es una ficha de entrada y definición técnica del proyecto, no la plantilla de importes ni el catálogo de productos. Debe alimentar la volumetría y la cotización, conservando su relación con el cliente, los planos y el alcance.</w:t>
      </w:r>
    </w:p>
    <w:tbl>
      <w:tblPr>
        <w:tblW w:type="auto" w:w="0"/>
        <w:jc w:val="center"/>
        <w:tblLayout w:type="fixed"/>
        <w:tblLook w:firstColumn="1" w:firstRow="1" w:lastColumn="0" w:lastRow="0" w:noHBand="0" w:noVBand="1" w:val="04A0"/>
      </w:tblPr>
      <w:tblGrid>
        <w:gridCol w:w="1656"/>
        <w:gridCol w:w="8424"/>
      </w:tblGrid>
      <w:tr>
        <w:trPr>
          <w:tblHeader/>
          <w:cantSplit/>
        </w:trPr>
        <w:tc>
          <w:tcPr>
            <w:tcW w:type="dxa" w:w="1656"/>
            <w:vAlign w:val="center"/>
            <w:tcMar>
              <w:top w:w="85" w:type="dxa"/>
              <w:left w:w="85" w:type="dxa"/>
              <w:bottom w:w="85" w:type="dxa"/>
              <w:right w:w="85" w:type="dxa"/>
            </w:tcMar>
            <w:shd w:fill="16364A"/>
          </w:tcPr>
          <w:p>
            <w:pPr>
              <w:spacing w:after="40" w:before="20" w:line="245" w:lineRule="auto"/>
            </w:pPr>
            <w:r>
              <w:rPr>
                <w:b/>
                <w:color w:val="FFFFFF"/>
                <w:sz w:val="19"/>
              </w:rPr>
              <w:t>Ubicación</w:t>
            </w:r>
          </w:p>
        </w:tc>
        <w:tc>
          <w:tcPr>
            <w:tcW w:type="dxa" w:w="8424"/>
            <w:vAlign w:val="center"/>
            <w:tcMar>
              <w:top w:w="85" w:type="dxa"/>
              <w:left w:w="85" w:type="dxa"/>
              <w:bottom w:w="85" w:type="dxa"/>
              <w:right w:w="85" w:type="dxa"/>
            </w:tcMar>
            <w:shd w:fill="16364A"/>
          </w:tcPr>
          <w:p>
            <w:pPr>
              <w:spacing w:after="40" w:before="20" w:line="245" w:lineRule="auto"/>
            </w:pPr>
            <w:r>
              <w:rPr>
                <w:b/>
                <w:color w:val="FFFFFF"/>
                <w:sz w:val="19"/>
              </w:rPr>
              <w:t>Contenido que debe conservarse</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Filas 1-4</w:t>
            </w:r>
          </w:p>
        </w:tc>
        <w:tc>
          <w:tcPr>
            <w:tcW w:type="dxa" w:w="8424"/>
            <w:vAlign w:val="center"/>
            <w:tcMar>
              <w:top w:w="85" w:type="dxa"/>
              <w:left w:w="85" w:type="dxa"/>
              <w:bottom w:w="85" w:type="dxa"/>
              <w:right w:w="85" w:type="dxa"/>
            </w:tcMar>
          </w:tcPr>
          <w:p>
            <w:pPr>
              <w:spacing w:after="40" w:before="20" w:line="245" w:lineRule="auto"/>
            </w:pPr>
            <w:r>
              <w:rPr>
                <w:b w:val="0"/>
                <w:sz w:val="19"/>
              </w:rPr>
              <w:t>Fecha, número de cotización y asesor comercial.</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Filas 6-11</w:t>
            </w:r>
          </w:p>
        </w:tc>
        <w:tc>
          <w:tcPr>
            <w:tcW w:type="dxa" w:w="8424"/>
            <w:vAlign w:val="center"/>
            <w:tcMar>
              <w:top w:w="85" w:type="dxa"/>
              <w:left w:w="85" w:type="dxa"/>
              <w:bottom w:w="85" w:type="dxa"/>
              <w:right w:w="85" w:type="dxa"/>
            </w:tcMar>
          </w:tcPr>
          <w:p>
            <w:pPr>
              <w:spacing w:after="40" w:before="20" w:line="245" w:lineRule="auto"/>
            </w:pPr>
            <w:r>
              <w:rPr>
                <w:b w:val="0"/>
                <w:sz w:val="19"/>
              </w:rPr>
              <w:t>Cliente, contacto, cargo, correo, dirección, país, ciudad, teléfono y término de negociación.</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Filas 13-15</w:t>
            </w:r>
          </w:p>
        </w:tc>
        <w:tc>
          <w:tcPr>
            <w:tcW w:type="dxa" w:w="8424"/>
            <w:vAlign w:val="center"/>
            <w:tcMar>
              <w:top w:w="85" w:type="dxa"/>
              <w:left w:w="85" w:type="dxa"/>
              <w:bottom w:w="85" w:type="dxa"/>
              <w:right w:w="85" w:type="dxa"/>
            </w:tcMar>
          </w:tcPr>
          <w:p>
            <w:pPr>
              <w:spacing w:after="40" w:before="20" w:line="245" w:lineRule="auto"/>
            </w:pPr>
            <w:r>
              <w:rPr>
                <w:b w:val="0"/>
                <w:sz w:val="19"/>
              </w:rPr>
              <w:t>Obra, ciudad, equipos, adaptaciones/cambios, viviendas y tipo de producto.</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Filas 17-20</w:t>
            </w:r>
          </w:p>
        </w:tc>
        <w:tc>
          <w:tcPr>
            <w:tcW w:type="dxa" w:w="8424"/>
            <w:vAlign w:val="center"/>
            <w:tcMar>
              <w:top w:w="85" w:type="dxa"/>
              <w:left w:w="85" w:type="dxa"/>
              <w:bottom w:w="85" w:type="dxa"/>
              <w:right w:w="85" w:type="dxa"/>
            </w:tcMar>
          </w:tcPr>
          <w:p>
            <w:pPr>
              <w:spacing w:after="40" w:before="20" w:line="245" w:lineRule="auto"/>
            </w:pPr>
            <w:r>
              <w:rPr>
                <w:b w:val="0"/>
                <w:sz w:val="19"/>
              </w:rPr>
              <w:t>Planos arquitectónicos, actualización, versión y formato.</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Filas 22-30</w:t>
            </w:r>
          </w:p>
        </w:tc>
        <w:tc>
          <w:tcPr>
            <w:tcW w:type="dxa" w:w="8424"/>
            <w:vAlign w:val="center"/>
            <w:tcMar>
              <w:top w:w="85" w:type="dxa"/>
              <w:left w:w="85" w:type="dxa"/>
              <w:bottom w:w="85" w:type="dxa"/>
              <w:right w:w="85" w:type="dxa"/>
            </w:tcMar>
          </w:tcPr>
          <w:p>
            <w:pPr>
              <w:spacing w:after="40" w:before="20" w:line="245" w:lineRule="auto"/>
            </w:pPr>
            <w:r>
              <w:rPr>
                <w:b w:val="0"/>
                <w:sz w:val="19"/>
              </w:rPr>
              <w:t>Alturas, espesores, uniones, configuración y seguridad. Medidas técnicas en centímetros.</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Filas 32-38</w:t>
            </w:r>
          </w:p>
        </w:tc>
        <w:tc>
          <w:tcPr>
            <w:tcW w:type="dxa" w:w="8424"/>
            <w:vAlign w:val="center"/>
            <w:tcMar>
              <w:top w:w="85" w:type="dxa"/>
              <w:left w:w="85" w:type="dxa"/>
              <w:bottom w:w="85" w:type="dxa"/>
              <w:right w:w="85" w:type="dxa"/>
            </w:tcMar>
          </w:tcPr>
          <w:p>
            <w:pPr>
              <w:spacing w:after="40" w:before="20" w:line="245" w:lineRule="auto"/>
            </w:pPr>
            <w:r>
              <w:rPr>
                <w:b w:val="0"/>
                <w:sz w:val="19"/>
              </w:rPr>
              <w:t>Detalles arquitectónicos que deben ubicarse en planos.</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Filas 40-43</w:t>
            </w:r>
          </w:p>
        </w:tc>
        <w:tc>
          <w:tcPr>
            <w:tcW w:type="dxa" w:w="8424"/>
            <w:vAlign w:val="center"/>
            <w:tcMar>
              <w:top w:w="85" w:type="dxa"/>
              <w:left w:w="85" w:type="dxa"/>
              <w:bottom w:w="85" w:type="dxa"/>
              <w:right w:w="85" w:type="dxa"/>
            </w:tcMar>
          </w:tcPr>
          <w:p>
            <w:pPr>
              <w:spacing w:after="40" w:before="20" w:line="245" w:lineRule="auto"/>
            </w:pPr>
            <w:r>
              <w:rPr>
                <w:b w:val="0"/>
                <w:sz w:val="19"/>
              </w:rPr>
              <w:t>Punto fijo / área común, escaleras y proceso constructivo.</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Filas 45-47</w:t>
            </w:r>
          </w:p>
        </w:tc>
        <w:tc>
          <w:tcPr>
            <w:tcW w:type="dxa" w:w="8424"/>
            <w:vAlign w:val="center"/>
            <w:tcMar>
              <w:top w:w="85" w:type="dxa"/>
              <w:left w:w="85" w:type="dxa"/>
              <w:bottom w:w="85" w:type="dxa"/>
              <w:right w:w="85" w:type="dxa"/>
            </w:tcMar>
          </w:tcPr>
          <w:p>
            <w:pPr>
              <w:spacing w:after="40" w:before="20" w:line="245" w:lineRule="auto"/>
            </w:pPr>
            <w:r>
              <w:rPr>
                <w:b w:val="0"/>
                <w:sz w:val="19"/>
              </w:rPr>
              <w:t>Detalles constructivos: juntas, desniveles y retrocesos.</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A49 / A51</w:t>
            </w:r>
          </w:p>
        </w:tc>
        <w:tc>
          <w:tcPr>
            <w:tcW w:type="dxa" w:w="8424"/>
            <w:vAlign w:val="center"/>
            <w:tcMar>
              <w:top w:w="85" w:type="dxa"/>
              <w:left w:w="85" w:type="dxa"/>
              <w:bottom w:w="85" w:type="dxa"/>
              <w:right w:w="85" w:type="dxa"/>
            </w:tcMar>
          </w:tcPr>
          <w:p>
            <w:pPr>
              <w:spacing w:after="40" w:before="20" w:line="245" w:lineRule="auto"/>
            </w:pPr>
            <w:r>
              <w:rPr>
                <w:b w:val="0"/>
                <w:sz w:val="19"/>
              </w:rPr>
              <w:t>Alcance de la cotización y características principales del proyecto.</w:t>
            </w:r>
          </w:p>
        </w:tc>
      </w:tr>
      <w:tr>
        <w:trPr>
          <w:cantSplit/>
        </w:trPr>
        <w:tc>
          <w:tcPr>
            <w:tcW w:type="dxa" w:w="1656"/>
            <w:vAlign w:val="center"/>
            <w:tcMar>
              <w:top w:w="85" w:type="dxa"/>
              <w:left w:w="85" w:type="dxa"/>
              <w:bottom w:w="85" w:type="dxa"/>
              <w:right w:w="85" w:type="dxa"/>
            </w:tcMar>
          </w:tcPr>
          <w:p>
            <w:pPr>
              <w:spacing w:after="40" w:before="20" w:line="245" w:lineRule="auto"/>
            </w:pPr>
            <w:r>
              <w:rPr>
                <w:b w:val="0"/>
                <w:sz w:val="19"/>
              </w:rPr>
              <w:t>A53 / A55</w:t>
            </w:r>
          </w:p>
        </w:tc>
        <w:tc>
          <w:tcPr>
            <w:tcW w:type="dxa" w:w="8424"/>
            <w:vAlign w:val="center"/>
            <w:tcMar>
              <w:top w:w="85" w:type="dxa"/>
              <w:left w:w="85" w:type="dxa"/>
              <w:bottom w:w="85" w:type="dxa"/>
              <w:right w:w="85" w:type="dxa"/>
            </w:tcMar>
          </w:tcPr>
          <w:p>
            <w:pPr>
              <w:spacing w:after="40" w:before="20" w:line="245" w:lineRule="auto"/>
            </w:pPr>
            <w:r>
              <w:rPr>
                <w:b w:val="0"/>
                <w:sz w:val="19"/>
              </w:rPr>
              <w:t>Secuencia de vaciados acordada y aprobada por el cliente; notas generales.</w:t>
            </w:r>
          </w:p>
        </w:tc>
      </w:tr>
    </w:tbl>
    <w:p>
      <w:pPr>
        <w:pStyle w:val="Heading1"/>
      </w:pPr>
      <w:r>
        <w:t>Implicaciones para la configuración</w:t>
      </w:r>
    </w:p>
    <w:p>
      <w:r>
        <w:rPr>
          <w:b w:val="0"/>
        </w:rPr>
        <w:t>La reunión pide una pestaña estructurada y consultable durante el flujo, no solamente adjuntar el Excel. La obligatoriedad debe depender del tipo de negocio y de los documentos disponibles. Debe resolverse el significado de “metros ponderados” antes de conservarlo como campo operativo.</w:t>
      </w:r>
    </w:p>
    <w:p>
      <w:r>
        <w:rPr>
          <w:b w:val="0"/>
        </w:rPr>
        <w:t>Separar tres conceptos: tipo de cotización (molde completo, adaptación, listado o accesorios); opciones simultáneas de un mismo negocio; revisiones sucesivas de una opción. No limitar las opciones a cuatro: se revisó un caso con doce alternativas.</w:t>
      </w:r>
    </w:p>
    <w:p>
      <w:r>
        <w:rPr>
          <w:b w:val="0"/>
        </w:rPr>
        <w:t>Las especificaciones pueden completarse durante la cotización. El punto exacto de congelamiento y la relación con la aprobación / Shell Plan requieren acuerdo. También debe confirmarse que este archivo corresponde a la versión señalada por Arlex como compartida el 26 de octubre a las 16:57.</w:t>
      </w:r>
    </w:p>
    <w:p>
      <w:pPr>
        <w:spacing w:after="140"/>
      </w:pPr>
      <w:r>
        <w:rPr>
          <w:b w:val="0"/>
          <w:color w:val="637481"/>
          <w:sz w:val="17"/>
        </w:rPr>
        <w:t>Evidencia: ESP-TEC, celdas y filas indicadas; Reunión 2, 1:00:56-1:02:30, 1:25:45-1:26:56, 1:33:19-1:38:00 y 1:48-2:01. La verificación de versión es un control propuesto; el nombre 2024 no demuestra por sí solo que el formato esté obsoleto.</w:t>
      </w:r>
    </w:p>
    <w:p>
      <w:r>
        <w:br w:type="page"/>
      </w:r>
    </w:p>
    <w:p>
      <w:pPr>
        <w:pStyle w:val="Heading1"/>
      </w:pPr>
      <w:r>
        <w:t>2. Pendientes de CMR</w:t>
      </w:r>
    </w:p>
    <w:p>
      <w:r>
        <w:rPr>
          <w:b w:val="0"/>
        </w:rPr>
        <w:t>Referentes para coordinar el trabajo, sujetos a confirmación. CMR-01 y CMR-02 fueron reiterados expresamente en el cierre; los demás formalizan decisiones y validaciones surgidas en la sesión.</w:t>
      </w:r>
    </w:p>
    <w:p>
      <w:pPr>
        <w:pStyle w:val="Heading2"/>
      </w:pPr>
      <w:r>
        <w:t>CMR-01 | Entregar catálogo comercial de productos</w:t>
      </w:r>
    </w:p>
    <w:p>
      <w:pPr>
        <w:spacing w:after="80"/>
      </w:pPr>
      <w:r>
        <w:rPr>
          <w:b w:val="0"/>
          <w:color w:val="536674"/>
          <w:sz w:val="18"/>
        </w:rPr>
        <w:t>Mónica + Arlex, con Rafael  |  Compromiso de cierre</w:t>
      </w:r>
    </w:p>
    <w:p>
      <w:r>
        <w:rPr>
          <w:b w:val="0"/>
        </w:rPr>
        <w:t>Preparar conceptos/nombres, familias y variantes, unidades de medida (m², metro lineal, lote y pieza) y precios o reglas comerciales aplicables. Identificar variantes como 500/1,000 usos cuando correspondan. CMR define el contenido; CiLi lo parametriza. No convertir precios de demostración en tarifas definitivas.</w:t>
      </w:r>
    </w:p>
    <w:p>
      <w:pPr>
        <w:spacing w:after="60"/>
      </w:pPr>
      <w:r>
        <w:rPr>
          <w:b w:val="0"/>
          <w:sz w:val="19"/>
        </w:rPr>
        <w:t>Tarea padre propuesta: [C02] Clientes, oportunidades, ejemplos, correo y catálogos (#807)</w:t>
      </w:r>
    </w:p>
    <w:p>
      <w:pPr>
        <w:spacing w:after="140"/>
      </w:pPr>
      <w:r>
        <w:rPr>
          <w:b w:val="0"/>
          <w:color w:val="637481"/>
          <w:sz w:val="17"/>
        </w:rPr>
        <w:t>Evidencia: Reunión 2, 2:02:41-2:04:24; 2:08:39-2:09:13.</w:t>
      </w:r>
    </w:p>
    <w:p>
      <w:pPr>
        <w:pStyle w:val="Heading2"/>
      </w:pPr>
      <w:r>
        <w:t>CMR-02 | Definir correo de ventas y distribución</w:t>
      </w:r>
    </w:p>
    <w:p>
      <w:pPr>
        <w:spacing w:after="80"/>
      </w:pPr>
      <w:r>
        <w:rPr>
          <w:b w:val="0"/>
          <w:color w:val="536674"/>
          <w:sz w:val="18"/>
        </w:rPr>
        <w:t>Mónica + Arlex; validar con Pablo  |  Compromiso de cierre</w:t>
      </w:r>
    </w:p>
    <w:p>
      <w:r>
        <w:rPr>
          <w:b w:val="0"/>
        </w:rPr>
        <w:t>Decidir qué buzón recibirá solicitudes comerciales, quién lo atenderá y cómo se separarán los mensajes de Ingeniería. Resolver continuidad del correo actual mediante alias o redirección. Cualquier acceso al correo personal de Carlos requiere su autorización previa.</w:t>
      </w:r>
    </w:p>
    <w:p>
      <w:pPr>
        <w:spacing w:after="60"/>
      </w:pPr>
      <w:r>
        <w:rPr>
          <w:b w:val="0"/>
          <w:sz w:val="19"/>
        </w:rPr>
        <w:t>Tarea padre propuesta: [C02] Clientes, oportunidades, ejemplos, correo y catálogos (#807)</w:t>
      </w:r>
    </w:p>
    <w:p>
      <w:pPr>
        <w:spacing w:after="140"/>
      </w:pPr>
      <w:r>
        <w:rPr>
          <w:b w:val="0"/>
          <w:color w:val="637481"/>
          <w:sz w:val="17"/>
        </w:rPr>
        <w:t>Evidencia: Reunión 2, 2:05:26-2:09:13.</w:t>
      </w:r>
    </w:p>
    <w:p>
      <w:pPr>
        <w:pStyle w:val="Heading2"/>
      </w:pPr>
      <w:r>
        <w:t>CMR-03 | Aprobar matriz de permisos y visibilidad</w:t>
      </w:r>
    </w:p>
    <w:p>
      <w:pPr>
        <w:spacing w:after="80"/>
      </w:pPr>
      <w:r>
        <w:rPr>
          <w:b w:val="0"/>
          <w:color w:val="536674"/>
          <w:sz w:val="18"/>
        </w:rPr>
        <w:t>Mónica + Arlex  |  Validación requerida</w:t>
      </w:r>
    </w:p>
    <w:p>
      <w:r>
        <w:rPr>
          <w:b w:val="0"/>
        </w:rPr>
        <w:t>Definir por rol qué se puede consultar, editar y asignar; decidir si cada proyectista ve solo sus encargos o también los de otros. Confirmar que Ingeniería trabaja con planos, especificaciones y cantidades, sin acceso a los importes comerciales de las cotizaciones.</w:t>
      </w:r>
    </w:p>
    <w:p>
      <w:pPr>
        <w:spacing w:after="60"/>
      </w:pPr>
      <w:r>
        <w:rPr>
          <w:b w:val="0"/>
          <w:sz w:val="19"/>
        </w:rPr>
        <w:t>Tarea padre propuesta: [I04] HTTPS, roles, respaldo y prueba de restauración (#803)</w:t>
      </w:r>
    </w:p>
    <w:p>
      <w:pPr>
        <w:spacing w:after="140"/>
      </w:pPr>
      <w:r>
        <w:rPr>
          <w:b w:val="0"/>
          <w:color w:val="637481"/>
          <w:sz w:val="17"/>
        </w:rPr>
        <w:t>Evidencia: Reunión 2, 15:36-18:05; 48:34-50:22.</w:t>
      </w:r>
    </w:p>
    <w:p>
      <w:pPr>
        <w:pStyle w:val="Heading2"/>
      </w:pPr>
      <w:r>
        <w:t>CMR-04 | Validar campos y requisitos mínimos del ESP-TEC</w:t>
      </w:r>
    </w:p>
    <w:p>
      <w:pPr>
        <w:spacing w:after="80"/>
      </w:pPr>
      <w:r>
        <w:rPr>
          <w:b w:val="0"/>
          <w:color w:val="536674"/>
          <w:sz w:val="18"/>
        </w:rPr>
        <w:t>Arlex + Rafael; revisión con Marco  |  Validación requerida</w:t>
      </w:r>
    </w:p>
    <w:p>
      <w:r>
        <w:rPr>
          <w:b w:val="0"/>
        </w:rPr>
        <w:t>Aprobar el formato vigente, campos comunes y condicionales por tipo de cotización, responsable de captura y documentos necesarios para avanzar. Aclarar “metros ponderados”. No exigir plano estructural cuando el caso puede cotizarse sin él; diferenciar documento faltante de revisión pendiente.</w:t>
      </w:r>
    </w:p>
    <w:p>
      <w:pPr>
        <w:spacing w:after="60"/>
      </w:pPr>
      <w:r>
        <w:rPr>
          <w:b w:val="0"/>
          <w:sz w:val="19"/>
        </w:rPr>
        <w:t>Tarea padre propuesta: [C01] Taller: siete etapas CRM, SLA, campos y handoff (#806)</w:t>
      </w:r>
    </w:p>
    <w:p>
      <w:pPr>
        <w:spacing w:after="140"/>
      </w:pPr>
      <w:r>
        <w:rPr>
          <w:b w:val="0"/>
          <w:color w:val="637481"/>
          <w:sz w:val="17"/>
        </w:rPr>
        <w:t>Evidencia: Reunión 2, 1:00:56-1:02:30; 1:25:45-1:26:56; 1:33:19-1:34:35.</w:t>
      </w:r>
    </w:p>
    <w:p>
      <w:r>
        <w:br w:type="page"/>
      </w:r>
    </w:p>
    <w:p>
      <w:pPr>
        <w:pStyle w:val="Heading1"/>
      </w:pPr>
      <w:r>
        <w:t>2. Pendientes de CMR / continuación</w:t>
      </w:r>
    </w:p>
    <w:p>
      <w:pPr>
        <w:pStyle w:val="Heading2"/>
      </w:pPr>
      <w:r>
        <w:t>CMR-05 | Validar cantidades, reglas y alternativas de cotización</w:t>
      </w:r>
    </w:p>
    <w:p>
      <w:pPr>
        <w:spacing w:after="80"/>
      </w:pPr>
      <w:r>
        <w:rPr>
          <w:b w:val="0"/>
          <w:color w:val="536674"/>
          <w:sz w:val="18"/>
        </w:rPr>
        <w:t>Rafael + Arlex  |  Desglose de validación propuesto</w:t>
      </w:r>
    </w:p>
    <w:p>
      <w:r>
        <w:rPr>
          <w:b w:val="0"/>
        </w:rPr>
        <w:t>Explicar la captura en “programa” y el porcentaje que incorpora elementos adicionales o faltantes; acordar su base de cálculo sin asumir que es margen comercial. Validar secciones, subtotales, unidades, condiciones y nomenclatura de opciones frente al caso real compartido. Distinguir opciones de revisiones.</w:t>
      </w:r>
    </w:p>
    <w:p>
      <w:pPr>
        <w:spacing w:after="60"/>
      </w:pPr>
      <w:r>
        <w:rPr>
          <w:b w:val="0"/>
          <w:sz w:val="19"/>
        </w:rPr>
        <w:t>Tarea padre propuesta: [C01] Taller: siete etapas CRM, SLA, campos y handoff (#806)</w:t>
      </w:r>
    </w:p>
    <w:p>
      <w:pPr>
        <w:spacing w:after="140"/>
      </w:pPr>
      <w:r>
        <w:rPr>
          <w:b w:val="0"/>
          <w:color w:val="637481"/>
          <w:sz w:val="17"/>
        </w:rPr>
        <w:t>Evidencia: Reunión 2, 1:19:59-1:22; 1:48-2:03.</w:t>
      </w:r>
    </w:p>
    <w:p>
      <w:pPr>
        <w:pStyle w:val="Heading2"/>
      </w:pPr>
      <w:r>
        <w:t>CMR-06 | Acordar liberación de especificaciones y cambios</w:t>
      </w:r>
    </w:p>
    <w:p>
      <w:pPr>
        <w:spacing w:after="80"/>
      </w:pPr>
      <w:r>
        <w:rPr>
          <w:b w:val="0"/>
          <w:color w:val="536674"/>
          <w:sz w:val="18"/>
        </w:rPr>
        <w:t>Arlex + Rafael + Mónica, con Marco  |  Decisión conjunta pendiente</w:t>
      </w:r>
    </w:p>
    <w:p>
      <w:r>
        <w:rPr>
          <w:b w:val="0"/>
        </w:rPr>
        <w:t>Fijar el punto de aprobación y congelamiento, quién puede modificar antes y después, y cómo se conserva la versión aprobada. Resolver expresamente la relación entre cierre comercial, ingreso a Ingeniería y Shell Plan. No bloquear indiscriminadamente desde la primera captura.</w:t>
      </w:r>
    </w:p>
    <w:p>
      <w:pPr>
        <w:spacing w:after="60"/>
      </w:pPr>
      <w:r>
        <w:rPr>
          <w:b w:val="0"/>
          <w:sz w:val="19"/>
        </w:rPr>
        <w:t>Tarea padre propuesta: [E01] Taller Shell Plan, tareas y aprobaciones (#815)</w:t>
      </w:r>
    </w:p>
    <w:p>
      <w:pPr>
        <w:spacing w:after="140"/>
      </w:pPr>
      <w:r>
        <w:rPr>
          <w:b w:val="0"/>
          <w:color w:val="637481"/>
          <w:sz w:val="17"/>
        </w:rPr>
        <w:t>Evidencia: Reunión 2, 1:35:18-1:38:00.</w:t>
      </w:r>
    </w:p>
    <w:p>
      <w:pPr>
        <w:pStyle w:val="Heading2"/>
      </w:pPr>
      <w:r>
        <w:t>CMR-07 | Revisar y aceptar el piloto comercial</w:t>
      </w:r>
    </w:p>
    <w:p>
      <w:pPr>
        <w:spacing w:after="80"/>
      </w:pPr>
      <w:r>
        <w:rPr>
          <w:b w:val="0"/>
          <w:color w:val="536674"/>
          <w:sz w:val="18"/>
        </w:rPr>
        <w:t>Arlex + Mónica + Rafael  |  Validación propuesta</w:t>
      </w:r>
    </w:p>
    <w:p>
      <w:r>
        <w:rPr>
          <w:b w:val="0"/>
        </w:rPr>
        <w:t>Revisar la captura del ESP-TEC, el encargo al proyectista, el retorno de volumetría y la cotización generada. Registrar diferencias contra el caso de referencia y aprobar los criterios de salida. La revisión del viernes es un punto de avance, distinto de la aceptación final del CRM.</w:t>
      </w:r>
    </w:p>
    <w:p>
      <w:pPr>
        <w:spacing w:after="60"/>
      </w:pPr>
      <w:r>
        <w:rPr>
          <w:b w:val="0"/>
          <w:sz w:val="19"/>
        </w:rPr>
        <w:t>Tarea padre propuesta: [C09] Aceptación y demostración de CRM (#814)</w:t>
      </w:r>
    </w:p>
    <w:p>
      <w:pPr>
        <w:spacing w:after="60"/>
      </w:pPr>
      <w:r>
        <w:rPr>
          <w:b w:val="0"/>
          <w:sz w:val="18"/>
        </w:rPr>
        <w:t>Dependencia: CILI-01, CILI-04, CILI-06 y CILI-10; catálogo definitivo para validar precios reales.</w:t>
      </w:r>
    </w:p>
    <w:p>
      <w:pPr>
        <w:spacing w:after="140"/>
      </w:pPr>
      <w:r>
        <w:rPr>
          <w:b w:val="0"/>
          <w:color w:val="637481"/>
          <w:sz w:val="17"/>
        </w:rPr>
        <w:t>Evidencia: Reunión 2, 1:30:18-1:32:25; 1:56:22-1:58:26; 2:09:42-2:10:35.</w:t>
      </w:r>
    </w:p>
    <w:p>
      <w:pPr>
        <w:pStyle w:val="Heading1"/>
      </w:pPr>
      <w:r>
        <w:t>Secuencia de insumos y aprobaciones</w:t>
      </w:r>
    </w:p>
    <w:p>
      <w:r>
        <w:rPr>
          <w:b w:val="0"/>
        </w:rPr>
        <w:t>Primero: catálogo, buzón y definiciones del ESP-TEC. En paralelo: permisos y criterios de traspaso. Después: piloto con datos de ejemplo claramente identificados; conciliación comercial y aprobación con datos de CMR.</w:t>
      </w:r>
    </w:p>
    <w:p>
      <w:r>
        <w:rPr>
          <w:b w:val="0"/>
        </w:rPr>
        <w:t>No se propone volver a pedir como pendientes la base de clientes ni todas las plantillas: en la reunión se reportaron cargados los clientes y compartidos los formatos. El caso de Rafael también se reportó enviado al cierre; queda revisar su suficiencia para las pruebas.</w:t>
      </w:r>
    </w:p>
    <w:p>
      <w:pPr>
        <w:spacing w:after="140"/>
      </w:pPr>
      <w:r>
        <w:rPr>
          <w:b w:val="0"/>
          <w:color w:val="637481"/>
          <w:sz w:val="17"/>
        </w:rPr>
        <w:t>Trabajo de preparación de CMR: 29/10/2026. Próxima revisión: 30/10/2026. La transcripción no asigna un vencimiento individual a cada pendiente.</w:t>
      </w:r>
    </w:p>
    <w:p>
      <w:r>
        <w:br w:type="page"/>
      </w:r>
    </w:p>
    <w:p>
      <w:pPr>
        <w:pStyle w:val="Heading1"/>
      </w:pPr>
      <w:r>
        <w:t>3. Pendientes de CiLi / configuración y flujo</w:t>
      </w:r>
    </w:p>
    <w:p>
      <w:pPr>
        <w:pStyle w:val="Heading2"/>
      </w:pPr>
      <w:r>
        <w:t>CILI-01 | Parametrizar el ESP-TEC en la oportunidad</w:t>
      </w:r>
    </w:p>
    <w:p>
      <w:pPr>
        <w:spacing w:after="80"/>
      </w:pPr>
      <w:r>
        <w:rPr>
          <w:b w:val="0"/>
          <w:color w:val="536674"/>
          <w:sz w:val="18"/>
        </w:rPr>
        <w:t>Rodrigo; supervisión funcional de Marco  |  Compromiso de cierre</w:t>
      </w:r>
    </w:p>
    <w:p>
      <w:r>
        <w:rPr>
          <w:b w:val="0"/>
        </w:rPr>
        <w:t>Crear una pestaña estructurada con las secciones del formato, disponible a lo largo del flujo. Reutilizar datos de cliente/proyecto y aplicar campos por tipo de cotización. Conservar las unidades técnicas y la referencia al documento vigente.</w:t>
      </w:r>
    </w:p>
    <w:p>
      <w:pPr>
        <w:spacing w:after="60"/>
      </w:pPr>
      <w:r>
        <w:rPr>
          <w:b w:val="0"/>
          <w:sz w:val="19"/>
        </w:rPr>
        <w:t>Tarea padre propuesta: [C05] Cotizaciones, pedidos, versiones y traspaso (#810)</w:t>
      </w:r>
    </w:p>
    <w:p>
      <w:pPr>
        <w:spacing w:after="60"/>
      </w:pPr>
      <w:r>
        <w:rPr>
          <w:b w:val="0"/>
          <w:sz w:val="18"/>
        </w:rPr>
        <w:t>Dependencia: CMR-04.</w:t>
      </w:r>
    </w:p>
    <w:p>
      <w:pPr>
        <w:spacing w:after="140"/>
      </w:pPr>
      <w:r>
        <w:rPr>
          <w:b w:val="0"/>
          <w:color w:val="637481"/>
          <w:sz w:val="17"/>
        </w:rPr>
        <w:t>Evidencia: Reunión 2, 1:31:15-1:34:35; 2:09:14-2:09:40.</w:t>
      </w:r>
    </w:p>
    <w:p>
      <w:pPr>
        <w:pStyle w:val="Heading2"/>
      </w:pPr>
      <w:r>
        <w:t>CILI-02 | Ajustar etapas y validaciones de avance</w:t>
      </w:r>
    </w:p>
    <w:p>
      <w:pPr>
        <w:spacing w:after="80"/>
      </w:pPr>
      <w:r>
        <w:rPr>
          <w:b w:val="0"/>
          <w:color w:val="536674"/>
          <w:sz w:val="18"/>
        </w:rPr>
        <w:t>Rodrigo + Marco  |  Requerimiento de la sesión</w:t>
      </w:r>
    </w:p>
    <w:p>
      <w:r>
        <w:rPr>
          <w:b w:val="0"/>
        </w:rPr>
        <w:t>Corregir el bloqueo por planos/documentos que no son obligatorios en todos los casos. Configurar responsables y requisitos de paso conforme al flujo validado, sin dar por completa una revisión solo porque falta el documento.</w:t>
      </w:r>
    </w:p>
    <w:p>
      <w:pPr>
        <w:spacing w:after="60"/>
      </w:pPr>
      <w:r>
        <w:rPr>
          <w:b w:val="0"/>
          <w:sz w:val="19"/>
        </w:rPr>
        <w:t>Tarea padre propuesta: [C03] Etapas de embudo CRM, responsables y vistas (#808)</w:t>
      </w:r>
    </w:p>
    <w:p>
      <w:pPr>
        <w:spacing w:after="60"/>
      </w:pPr>
      <w:r>
        <w:rPr>
          <w:b w:val="0"/>
          <w:sz w:val="18"/>
        </w:rPr>
        <w:t>Dependencia: CMR-04.</w:t>
      </w:r>
    </w:p>
    <w:p>
      <w:pPr>
        <w:spacing w:after="140"/>
      </w:pPr>
      <w:r>
        <w:rPr>
          <w:b w:val="0"/>
          <w:color w:val="637481"/>
          <w:sz w:val="17"/>
        </w:rPr>
        <w:t>Evidencia: Reunión 2, 35:04-38:23; 1:23:45-1:28:33.</w:t>
      </w:r>
    </w:p>
    <w:p>
      <w:pPr>
        <w:pStyle w:val="Heading2"/>
      </w:pPr>
      <w:r>
        <w:t>CILI-03 | Configurar y probar permisos por rol</w:t>
      </w:r>
    </w:p>
    <w:p>
      <w:pPr>
        <w:spacing w:after="80"/>
      </w:pPr>
      <w:r>
        <w:rPr>
          <w:b w:val="0"/>
          <w:color w:val="536674"/>
          <w:sz w:val="18"/>
        </w:rPr>
        <w:t>Rodrigo; validación de Marco y CMR  |  Requerimiento de la sesión</w:t>
      </w:r>
    </w:p>
    <w:p>
      <w:r>
        <w:rPr>
          <w:b w:val="0"/>
        </w:rPr>
        <w:t>Implementar la matriz aprobada y comprobar con usuarios de prueba la separación entre información técnica y precios. Definir permisos de edición de especificaciones y alcance por proyecto, no solo una presentación visual distinta.</w:t>
      </w:r>
    </w:p>
    <w:p>
      <w:pPr>
        <w:spacing w:after="60"/>
      </w:pPr>
      <w:r>
        <w:rPr>
          <w:b w:val="0"/>
          <w:sz w:val="19"/>
        </w:rPr>
        <w:t>Tarea padre propuesta: [I04] HTTPS, roles, respaldo y prueba de restauración (#803)</w:t>
      </w:r>
    </w:p>
    <w:p>
      <w:pPr>
        <w:spacing w:after="60"/>
      </w:pPr>
      <w:r>
        <w:rPr>
          <w:b w:val="0"/>
          <w:sz w:val="18"/>
        </w:rPr>
        <w:t>Dependencia: CMR-03 y CMR-06; pruebas relacionadas con C08 (#813).</w:t>
      </w:r>
    </w:p>
    <w:p>
      <w:pPr>
        <w:spacing w:after="140"/>
      </w:pPr>
      <w:r>
        <w:rPr>
          <w:b w:val="0"/>
          <w:color w:val="637481"/>
          <w:sz w:val="17"/>
        </w:rPr>
        <w:t>Evidencia: Reunión 2, 15:36-18:05; 48:34-50:22; 1:38:00.</w:t>
      </w:r>
    </w:p>
    <w:p>
      <w:pPr>
        <w:pStyle w:val="Heading2"/>
      </w:pPr>
      <w:r>
        <w:t>CILI-04 | Habilitar traspaso a Proyectos de Ingeniería</w:t>
      </w:r>
    </w:p>
    <w:p>
      <w:pPr>
        <w:spacing w:after="80"/>
      </w:pPr>
      <w:r>
        <w:rPr>
          <w:b w:val="0"/>
          <w:color w:val="536674"/>
          <w:sz w:val="18"/>
        </w:rPr>
        <w:t>Rodrigo; diseño funcional con Marco  |  Requerimiento reiterado</w:t>
      </w:r>
    </w:p>
    <w:p>
      <w:r>
        <w:rPr>
          <w:b w:val="0"/>
        </w:rPr>
        <w:t>Habilitar la vista de trabajo técnico y la generación/asignación de la tarea desde el punto acordado del CRM. Mantener la referencia a la oportunidad y devolver los entregables al cotizador. Se trata del flujo operativo de CMR, no de crear obras de clientes dentro del proyecto de implementación 51.</w:t>
      </w:r>
    </w:p>
    <w:p>
      <w:pPr>
        <w:spacing w:after="60"/>
      </w:pPr>
      <w:r>
        <w:rPr>
          <w:b w:val="0"/>
          <w:sz w:val="19"/>
        </w:rPr>
        <w:t>Tarea padre propuesta: [E03] Configurar proyectos, plantillas y etapas (#817)</w:t>
      </w:r>
    </w:p>
    <w:p>
      <w:pPr>
        <w:spacing w:after="140"/>
      </w:pPr>
      <w:r>
        <w:rPr>
          <w:b w:val="0"/>
          <w:color w:val="637481"/>
          <w:sz w:val="17"/>
        </w:rPr>
        <w:t>Evidencia: Reunión 2, 43:35-50:22; 1:56:22-1:58:26.</w:t>
      </w:r>
    </w:p>
    <w:p>
      <w:pPr>
        <w:pStyle w:val="Heading2"/>
      </w:pPr>
      <w:r>
        <w:t>CILI-05 | Estandarizar actividades, fechas y avisos</w:t>
      </w:r>
    </w:p>
    <w:p>
      <w:pPr>
        <w:spacing w:after="80"/>
      </w:pPr>
      <w:r>
        <w:rPr>
          <w:b w:val="0"/>
          <w:color w:val="536674"/>
          <w:sz w:val="18"/>
        </w:rPr>
        <w:t>Rodrigo; definiciones con Marco y Arlex  |  Requerimiento de la sesión</w:t>
      </w:r>
    </w:p>
    <w:p>
      <w:r>
        <w:rPr>
          <w:b w:val="0"/>
        </w:rPr>
        <w:t>Preparar actividades reutilizables de revisión, volumetría y entrega, con responsable, inicio, vencimiento y seguimiento de ejecución. Distinguir notificación a seguidores de asignación de trabajo. No fijar como estándar los rendimientos usados solo como ejemplo.</w:t>
      </w:r>
    </w:p>
    <w:p>
      <w:pPr>
        <w:spacing w:after="60"/>
      </w:pPr>
      <w:r>
        <w:rPr>
          <w:b w:val="0"/>
          <w:sz w:val="19"/>
        </w:rPr>
        <w:t>Tarea padre propuesta: [E04] Tareas, asignaciones, bloqueos y fechas (#818)</w:t>
      </w:r>
    </w:p>
    <w:p>
      <w:pPr>
        <w:spacing w:after="140"/>
      </w:pPr>
      <w:r>
        <w:rPr>
          <w:b w:val="0"/>
          <w:color w:val="637481"/>
          <w:sz w:val="17"/>
        </w:rPr>
        <w:t>Evidencia: Reunión 2, 39:00-50:22; 55:12-57:04.</w:t>
      </w:r>
    </w:p>
    <w:p>
      <w:r>
        <w:br w:type="page"/>
      </w:r>
    </w:p>
    <w:p>
      <w:pPr>
        <w:pStyle w:val="Heading1"/>
      </w:pPr>
      <w:r>
        <w:t>3. Pendientes de CiLi / documentos y cotización</w:t>
      </w:r>
    </w:p>
    <w:p>
      <w:pPr>
        <w:pStyle w:val="Heading2"/>
      </w:pPr>
      <w:r>
        <w:t>CILI-06 | Incorporar resumen de volumetría y áreas</w:t>
      </w:r>
    </w:p>
    <w:p>
      <w:pPr>
        <w:spacing w:after="80"/>
      </w:pPr>
      <w:r>
        <w:rPr>
          <w:b w:val="0"/>
          <w:color w:val="536674"/>
          <w:sz w:val="18"/>
        </w:rPr>
        <w:t>Rodrigo; validación con Rafael y Arlex  |  Requerimiento de la sesión</w:t>
      </w:r>
    </w:p>
    <w:p>
      <w:r>
        <w:rPr>
          <w:b w:val="0"/>
        </w:rPr>
        <w:t>Definir y mostrar el resumen “Áreas e imágenes” y los totales que alimentan la cotización, conservando acceso al archivo completo. Conciliar el resumen con el cálculo fuente. El archivo llamado “lista de empaque para áreas” se usa aquí como insumo de volumetría, no como una tarea de embarque.</w:t>
      </w:r>
    </w:p>
    <w:p>
      <w:pPr>
        <w:spacing w:after="60"/>
      </w:pPr>
      <w:r>
        <w:rPr>
          <w:b w:val="0"/>
          <w:sz w:val="19"/>
        </w:rPr>
        <w:t>Tarea padre propuesta: [C05] Cotizaciones, pedidos, versiones y traspaso (#810)</w:t>
      </w:r>
    </w:p>
    <w:p>
      <w:pPr>
        <w:spacing w:after="60"/>
      </w:pPr>
      <w:r>
        <w:rPr>
          <w:b w:val="0"/>
          <w:sz w:val="18"/>
        </w:rPr>
        <w:t>Dependencia: CMR-05; repositorio de CILI-09.</w:t>
      </w:r>
    </w:p>
    <w:p>
      <w:pPr>
        <w:spacing w:after="140"/>
      </w:pPr>
      <w:r>
        <w:rPr>
          <w:b w:val="0"/>
          <w:color w:val="637481"/>
          <w:sz w:val="17"/>
        </w:rPr>
        <w:t>Evidencia: Reunión 2, 1:12-1:17; 1:39-1:42.</w:t>
      </w:r>
    </w:p>
    <w:p>
      <w:pPr>
        <w:pStyle w:val="Heading2"/>
      </w:pPr>
      <w:r>
        <w:t>CILI-07 | Resolver plantillas, cálculos y opciones</w:t>
      </w:r>
    </w:p>
    <w:p>
      <w:pPr>
        <w:spacing w:after="80"/>
      </w:pPr>
      <w:r>
        <w:rPr>
          <w:b w:val="0"/>
          <w:color w:val="536674"/>
          <w:sz w:val="18"/>
        </w:rPr>
        <w:t>Rodrigo + Marco  |  Requerimiento; diseño por validar</w:t>
      </w:r>
    </w:p>
    <w:p>
      <w:r>
        <w:rPr>
          <w:b w:val="0"/>
        </w:rPr>
        <w:t>Diseñar la cotización con conceptos, cantidades, precios, bloques y subtotales para los cuatro tipos. Incorporar solo reglas de cálculo aprobadas. Definir alternativas de una cotización base, identificación y salida para el cliente. El mecanismo de subcotizaciones y su implementación exacta requieren validación técnica.</w:t>
      </w:r>
    </w:p>
    <w:p>
      <w:pPr>
        <w:spacing w:after="60"/>
      </w:pPr>
      <w:r>
        <w:rPr>
          <w:b w:val="0"/>
          <w:sz w:val="19"/>
        </w:rPr>
        <w:t>Tarea padre propuesta: [C05] Cotizaciones, pedidos, versiones y traspaso (#810)</w:t>
      </w:r>
    </w:p>
    <w:p>
      <w:pPr>
        <w:spacing w:after="60"/>
      </w:pPr>
      <w:r>
        <w:rPr>
          <w:b w:val="0"/>
          <w:sz w:val="18"/>
        </w:rPr>
        <w:t>Dependencia: CMR-01 y CMR-05; distinguir opción de revisión.</w:t>
      </w:r>
    </w:p>
    <w:p>
      <w:pPr>
        <w:spacing w:after="140"/>
      </w:pPr>
      <w:r>
        <w:rPr>
          <w:b w:val="0"/>
          <w:color w:val="637481"/>
          <w:sz w:val="17"/>
        </w:rPr>
        <w:t>Evidencia: Reunión 2, 1:19:59-1:22; 1:43-1:53:03; 1:59-2:04:24.</w:t>
      </w:r>
    </w:p>
    <w:p>
      <w:pPr>
        <w:pStyle w:val="Heading2"/>
      </w:pPr>
      <w:r>
        <w:t>CILI-08 | Conservar versión aprobada y controlar cambios</w:t>
      </w:r>
    </w:p>
    <w:p>
      <w:pPr>
        <w:spacing w:after="80"/>
      </w:pPr>
      <w:r>
        <w:rPr>
          <w:b w:val="0"/>
          <w:color w:val="536674"/>
          <w:sz w:val="18"/>
        </w:rPr>
        <w:t>Rodrigo; acuerdo funcional de Marco y CMR  |  Desglose de implementación propuesto</w:t>
      </w:r>
    </w:p>
    <w:p>
      <w:r>
        <w:rPr>
          <w:b w:val="0"/>
        </w:rPr>
        <w:t>Configurar la trazabilidad de la especificación y los documentos aprobados, los permisos de modificación y la regla de liberación que CMR confirme. Conservar la referencia de lo aprobado en la transferencia, sin borrar el historial al producirse una modificación posterior.</w:t>
      </w:r>
    </w:p>
    <w:p>
      <w:pPr>
        <w:spacing w:after="60"/>
      </w:pPr>
      <w:r>
        <w:rPr>
          <w:b w:val="0"/>
          <w:sz w:val="19"/>
        </w:rPr>
        <w:t>Tarea padre propuesta: [E05] Control de planos, versiones y repositorio (#819)</w:t>
      </w:r>
    </w:p>
    <w:p>
      <w:pPr>
        <w:spacing w:after="60"/>
      </w:pPr>
      <w:r>
        <w:rPr>
          <w:b w:val="0"/>
          <w:sz w:val="18"/>
        </w:rPr>
        <w:t>Dependencia: CMR-06; relación con C05 (#810).</w:t>
      </w:r>
    </w:p>
    <w:p>
      <w:pPr>
        <w:spacing w:after="140"/>
      </w:pPr>
      <w:r>
        <w:rPr>
          <w:b w:val="0"/>
          <w:color w:val="637481"/>
          <w:sz w:val="17"/>
        </w:rPr>
        <w:t>Evidencia: Reunión 2, 1:35:18-1:38:00.</w:t>
      </w:r>
    </w:p>
    <w:p>
      <w:pPr>
        <w:pStyle w:val="Heading2"/>
      </w:pPr>
      <w:r>
        <w:t>CILI-09 | Definir expediente y acceso a SharePoint</w:t>
      </w:r>
    </w:p>
    <w:p>
      <w:pPr>
        <w:spacing w:after="80"/>
      </w:pPr>
      <w:r>
        <w:rPr>
          <w:b w:val="0"/>
          <w:color w:val="536674"/>
          <w:sz w:val="18"/>
        </w:rPr>
        <w:t>Rodrigo + Marco; accesos y estructura con CMR  |  Requerimiento con solución inicial</w:t>
      </w:r>
    </w:p>
    <w:p>
      <w:r>
        <w:rPr>
          <w:b w:val="0"/>
        </w:rPr>
        <w:t>Acordar dónde residen planos y archivos pesados y cómo se enlazan desde Odoo. Usar inicialmente enlaces a SharePoint cuando corresponda y probar que los usuarios autorizados abren el archivo vigente. Diferenciar este acceso básico de una sincronización automática o creación de carpetas todavía no cerrada.</w:t>
      </w:r>
    </w:p>
    <w:p>
      <w:pPr>
        <w:spacing w:after="60"/>
      </w:pPr>
      <w:r>
        <w:rPr>
          <w:b w:val="0"/>
          <w:sz w:val="19"/>
        </w:rPr>
        <w:t>Tarea padre propuesta: [E05] Control de planos, versiones y repositorio (#819)</w:t>
      </w:r>
    </w:p>
    <w:p>
      <w:pPr>
        <w:spacing w:after="60"/>
      </w:pPr>
      <w:r>
        <w:rPr>
          <w:b w:val="0"/>
          <w:sz w:val="18"/>
        </w:rPr>
        <w:t>Dependencia: CMR facilita estructura y permisos; no duplicar #896 estructura de nube.</w:t>
      </w:r>
    </w:p>
    <w:p>
      <w:pPr>
        <w:spacing w:after="140"/>
      </w:pPr>
      <w:r>
        <w:rPr>
          <w:b w:val="0"/>
          <w:color w:val="637481"/>
          <w:sz w:val="17"/>
        </w:rPr>
        <w:t>Evidencia: Reunión 2, 33:22-34:05; 1:06:40-1:11; 1:39-1:42.</w:t>
      </w:r>
    </w:p>
    <w:p>
      <w:r>
        <w:br w:type="page"/>
      </w:r>
    </w:p>
    <w:p>
      <w:pPr>
        <w:pStyle w:val="Heading1"/>
      </w:pPr>
      <w:r>
        <w:t>3. Pendientes de CiLi / prueba y coordinación</w:t>
      </w:r>
    </w:p>
    <w:p>
      <w:pPr>
        <w:pStyle w:val="Heading2"/>
      </w:pPr>
      <w:r>
        <w:t>CILI-10 | Preparar productos de ejemplo y demostrar cotización</w:t>
      </w:r>
    </w:p>
    <w:p>
      <w:pPr>
        <w:spacing w:after="80"/>
      </w:pPr>
      <w:r>
        <w:rPr>
          <w:b w:val="0"/>
          <w:color w:val="536674"/>
          <w:sz w:val="18"/>
        </w:rPr>
        <w:t>Rodrigo prepara; Marco conduce la validación  |  Compromiso de cierre</w:t>
      </w:r>
    </w:p>
    <w:p>
      <w:r>
        <w:rPr>
          <w:b w:val="0"/>
        </w:rPr>
        <w:t>Cargar productos de ejemplo claramente identificados, mostrar la cotización desde Odoo y revisar el caso de Rafael reportado como compartido. Registrar diferencias de datos, cálculo y presentación. Sustituir los ejemplos por el catálogo autorizado antes de validar precios definitivos.</w:t>
      </w:r>
    </w:p>
    <w:p>
      <w:pPr>
        <w:spacing w:after="60"/>
      </w:pPr>
      <w:r>
        <w:rPr>
          <w:b w:val="0"/>
          <w:sz w:val="19"/>
        </w:rPr>
        <w:t>Tarea padre propuesta: [C07] Pruebas funcionales del área comercial (#812)</w:t>
      </w:r>
    </w:p>
    <w:p>
      <w:pPr>
        <w:spacing w:after="60"/>
      </w:pPr>
      <w:r>
        <w:rPr>
          <w:b w:val="0"/>
          <w:sz w:val="18"/>
        </w:rPr>
        <w:t>Dependencia: Avance para la revisión del 30/10; no equivale a la aceptación final del CRM.</w:t>
      </w:r>
    </w:p>
    <w:p>
      <w:pPr>
        <w:spacing w:after="140"/>
      </w:pPr>
      <w:r>
        <w:rPr>
          <w:b w:val="0"/>
          <w:color w:val="637481"/>
          <w:sz w:val="17"/>
        </w:rPr>
        <w:t>Evidencia: Reunión 2, 1:30:18-1:32:25; 1:56:22-1:58:26; 2:08:39-2:09:40.</w:t>
      </w:r>
    </w:p>
    <w:p>
      <w:pPr>
        <w:pStyle w:val="Heading2"/>
      </w:pPr>
      <w:r>
        <w:t>CILI-11 | Conectar el buzón comercial acordado</w:t>
      </w:r>
    </w:p>
    <w:p>
      <w:pPr>
        <w:spacing w:after="80"/>
      </w:pPr>
      <w:r>
        <w:rPr>
          <w:b w:val="0"/>
          <w:color w:val="536674"/>
          <w:sz w:val="18"/>
        </w:rPr>
        <w:t>Rodrigo; habilitación de acceso por CMR  |  Implementación condicionada al buzón</w:t>
      </w:r>
    </w:p>
    <w:p>
      <w:r>
        <w:rPr>
          <w:b w:val="0"/>
        </w:rPr>
        <w:t>Configurar y probar la conexión de correo una vez definido el buzón y autorizados los accesos. Mantener la continuidad de direcciones existentes según la decisión de CMR. Separar esta conexión técnica de las reglas del agente comercial.</w:t>
      </w:r>
    </w:p>
    <w:p>
      <w:pPr>
        <w:spacing w:after="60"/>
      </w:pPr>
      <w:r>
        <w:rPr>
          <w:b w:val="0"/>
          <w:sz w:val="19"/>
        </w:rPr>
        <w:t>Tarea padre propuesta: [I07] Conexión con EMail (#951)</w:t>
      </w:r>
    </w:p>
    <w:p>
      <w:pPr>
        <w:spacing w:after="60"/>
      </w:pPr>
      <w:r>
        <w:rPr>
          <w:b w:val="0"/>
          <w:sz w:val="18"/>
        </w:rPr>
        <w:t>Dependencia: CMR-02; autorizaciones relacionadas con I06 (#805).</w:t>
      </w:r>
    </w:p>
    <w:p>
      <w:pPr>
        <w:spacing w:after="140"/>
      </w:pPr>
      <w:r>
        <w:rPr>
          <w:b w:val="0"/>
          <w:color w:val="637481"/>
          <w:sz w:val="17"/>
        </w:rPr>
        <w:t>Evidencia: Reunión 2, 2:05:26-2:08:54.</w:t>
      </w:r>
    </w:p>
    <w:p>
      <w:pPr>
        <w:pStyle w:val="Heading2"/>
      </w:pPr>
      <w:r>
        <w:t>CILI-12 | Definir reglas de correo e IA comercial</w:t>
      </w:r>
    </w:p>
    <w:p>
      <w:pPr>
        <w:spacing w:after="80"/>
      </w:pPr>
      <w:r>
        <w:rPr>
          <w:b w:val="0"/>
          <w:color w:val="536674"/>
          <w:sz w:val="18"/>
        </w:rPr>
        <w:t>Rodrigo + Marco; validación de CMR  |  Siguiente paso condicionado</w:t>
      </w:r>
    </w:p>
    <w:p>
      <w:r>
        <w:rPr>
          <w:b w:val="0"/>
        </w:rPr>
        <w:t>Definir qué mensajes son solicitudes comerciales, a quién se asignan y cuándo se propone o genera una oportunidad. Validar el flujo manual antes de automatizarlo. La revisión de un buzón personal de Carlos no se considera autorizada por haberse comentado en la reunión.</w:t>
      </w:r>
    </w:p>
    <w:p>
      <w:pPr>
        <w:spacing w:after="60"/>
      </w:pPr>
      <w:r>
        <w:rPr>
          <w:b w:val="0"/>
          <w:sz w:val="19"/>
        </w:rPr>
        <w:t>Tarea padre propuesta: [C06] Habilitar correo e IA comercial preexistente (#811)</w:t>
      </w:r>
    </w:p>
    <w:p>
      <w:pPr>
        <w:spacing w:after="60"/>
      </w:pPr>
      <w:r>
        <w:rPr>
          <w:b w:val="0"/>
          <w:sz w:val="18"/>
        </w:rPr>
        <w:t>Dependencia: CMR-02 y CILI-11.</w:t>
      </w:r>
    </w:p>
    <w:p>
      <w:pPr>
        <w:spacing w:after="140"/>
      </w:pPr>
      <w:r>
        <w:rPr>
          <w:b w:val="0"/>
          <w:color w:val="637481"/>
          <w:sz w:val="17"/>
        </w:rPr>
        <w:t>Evidencia: Reunión 2, 20:16-20:43; 2:05:26-2:08:54.</w:t>
      </w:r>
    </w:p>
    <w:p>
      <w:pPr>
        <w:pStyle w:val="Heading2"/>
      </w:pPr>
      <w:r>
        <w:t>CILI-13 | Compartir evidencias y coordinar seguimiento</w:t>
      </w:r>
    </w:p>
    <w:p>
      <w:pPr>
        <w:spacing w:after="80"/>
      </w:pPr>
      <w:r>
        <w:rPr>
          <w:b w:val="0"/>
          <w:color w:val="536674"/>
          <w:sz w:val="18"/>
        </w:rPr>
        <w:t>Jorge, con Marco  |  Seguimiento de acuerdos</w:t>
      </w:r>
    </w:p>
    <w:p>
      <w:r>
        <w:rPr>
          <w:b w:val="0"/>
        </w:rPr>
        <w:t>Resolver el acceso de Arlex a la grabación anterior, circular la minuta y coordinar la revisión del viernes 30 de octubre. Mantener decisiones y bloqueos visibles. Rodrigo coordina con Wachi el reparto técnico dentro del seguimiento existente, sin dar por aceptadas nuevas cargas de trabajo.</w:t>
      </w:r>
    </w:p>
    <w:p>
      <w:pPr>
        <w:spacing w:after="60"/>
      </w:pPr>
      <w:r>
        <w:rPr>
          <w:b w:val="0"/>
          <w:sz w:val="19"/>
        </w:rPr>
        <w:t>Tarea padre propuesta: [G03] Seguimiento y minutas semanales (#795)</w:t>
      </w:r>
    </w:p>
    <w:p>
      <w:pPr>
        <w:spacing w:after="60"/>
      </w:pPr>
      <w:r>
        <w:rPr>
          <w:b w:val="0"/>
          <w:sz w:val="18"/>
        </w:rPr>
        <w:t>Dependencia: Confirmar hora de la siguiente sesión; coordinación técnica relacionada con R01 (#890).</w:t>
      </w:r>
    </w:p>
    <w:p>
      <w:pPr>
        <w:spacing w:after="140"/>
      </w:pPr>
      <w:r>
        <w:rPr>
          <w:b w:val="0"/>
          <w:color w:val="637481"/>
          <w:sz w:val="17"/>
        </w:rPr>
        <w:t>Evidencia: Reunión 2, 2:01-2:47; 11:28-11:42; 2:09:42-2:10:35.</w:t>
      </w:r>
    </w:p>
    <w:p>
      <w:r>
        <w:br w:type="page"/>
      </w:r>
    </w:p>
    <w:p>
      <w:pPr>
        <w:pStyle w:val="Heading1"/>
      </w:pPr>
      <w:r>
        <w:t>4. Match con Odoo y decisiones para aprobar</w:t>
      </w:r>
    </w:p>
    <w:p>
      <w:r>
        <w:rPr>
          <w:b w:val="0"/>
        </w:rPr>
        <w:t>Consulta completa de los 103 registros visibles del proyecto 51: 100 tareas principales y 3 subtareas; una de estas últimas está cancelada. El nombre exacto del proyecto es implementacion erp CRM, no los otros proyectos llamados CMR.</w:t>
      </w:r>
    </w:p>
    <w:p>
      <w:pPr>
        <w:pStyle w:val="Heading1"/>
      </w:pPr>
      <w:r>
        <w:t>Evitar tareas duplicadas</w:t>
      </w:r>
    </w:p>
    <w:tbl>
      <w:tblPr>
        <w:tblW w:type="auto" w:w="0"/>
        <w:jc w:val="center"/>
        <w:tblLayout w:type="fixed"/>
        <w:tblLook w:firstColumn="1" w:firstRow="1" w:lastColumn="0" w:lastRow="0" w:noHBand="0" w:noVBand="1" w:val="04A0"/>
      </w:tblPr>
      <w:tblGrid>
        <w:gridCol w:w="3816"/>
        <w:gridCol w:w="6264"/>
      </w:tblGrid>
      <w:tr>
        <w:trPr>
          <w:tblHeader/>
          <w:cantSplit/>
        </w:trPr>
        <w:tc>
          <w:tcPr>
            <w:tcW w:type="dxa" w:w="3816"/>
            <w:vAlign w:val="center"/>
            <w:tcMar>
              <w:top w:w="85" w:type="dxa"/>
              <w:left w:w="85" w:type="dxa"/>
              <w:bottom w:w="85" w:type="dxa"/>
              <w:right w:w="85" w:type="dxa"/>
            </w:tcMar>
            <w:shd w:fill="16364A"/>
          </w:tcPr>
          <w:p>
            <w:pPr>
              <w:spacing w:after="40" w:before="20" w:line="245" w:lineRule="auto"/>
            </w:pPr>
            <w:r>
              <w:rPr>
                <w:b/>
                <w:color w:val="FFFFFF"/>
                <w:sz w:val="18"/>
              </w:rPr>
              <w:t>Registro existente</w:t>
            </w:r>
          </w:p>
        </w:tc>
        <w:tc>
          <w:tcPr>
            <w:tcW w:type="dxa" w:w="6264"/>
            <w:vAlign w:val="center"/>
            <w:tcMar>
              <w:top w:w="85" w:type="dxa"/>
              <w:left w:w="85" w:type="dxa"/>
              <w:bottom w:w="85" w:type="dxa"/>
              <w:right w:w="85" w:type="dxa"/>
            </w:tcMar>
            <w:shd w:fill="16364A"/>
          </w:tcPr>
          <w:p>
            <w:pPr>
              <w:spacing w:after="40" w:before="20" w:line="245" w:lineRule="auto"/>
            </w:pPr>
            <w:r>
              <w:rPr>
                <w:b/>
                <w:color w:val="FFFFFF"/>
                <w:sz w:val="18"/>
              </w:rPr>
              <w:t>Tratamiento propuesto</w:t>
            </w:r>
          </w:p>
        </w:tc>
      </w:tr>
      <w:tr>
        <w:trPr>
          <w:cantSplit/>
        </w:trPr>
        <w:tc>
          <w:tcPr>
            <w:tcW w:type="dxa" w:w="3816"/>
            <w:vAlign w:val="center"/>
            <w:tcMar>
              <w:top w:w="85" w:type="dxa"/>
              <w:left w:w="85" w:type="dxa"/>
              <w:bottom w:w="85" w:type="dxa"/>
              <w:right w:w="85" w:type="dxa"/>
            </w:tcMar>
          </w:tcPr>
          <w:p>
            <w:pPr>
              <w:spacing w:after="40" w:before="20" w:line="245" w:lineRule="auto"/>
            </w:pPr>
            <w:r>
              <w:rPr>
                <w:b w:val="0"/>
                <w:sz w:val="18"/>
              </w:rPr>
              <w:t>#891 Arranque area comercial.</w:t>
              <w:br/>
              <w:t>#893 plantillas y reglas de cotizacion.</w:t>
              <w:br/>
              <w:t>#894 armar la personalizacion inicial del modulo Crm</w:t>
            </w:r>
          </w:p>
        </w:tc>
        <w:tc>
          <w:tcPr>
            <w:tcW w:type="dxa" w:w="6264"/>
            <w:vAlign w:val="center"/>
            <w:tcMar>
              <w:top w:w="85" w:type="dxa"/>
              <w:left w:w="85" w:type="dxa"/>
              <w:bottom w:w="85" w:type="dxa"/>
              <w:right w:w="85" w:type="dxa"/>
            </w:tcMar>
          </w:tcPr>
          <w:p>
            <w:pPr>
              <w:spacing w:after="40" w:before="20" w:line="245" w:lineRule="auto"/>
            </w:pPr>
            <w:r>
              <w:rPr>
                <w:b w:val="0"/>
                <w:sz w:val="18"/>
              </w:rPr>
              <w:t>Usar las tareas WBS indicadas en las fichas como estructura principal de seguimiento; referenciar estos registros como antecedentes. No repetir el mismo entregable bajo ambas estructuras. La elección de estructura queda a aprobación.</w:t>
            </w:r>
          </w:p>
        </w:tc>
      </w:tr>
      <w:tr>
        <w:trPr>
          <w:cantSplit/>
        </w:trPr>
        <w:tc>
          <w:tcPr>
            <w:tcW w:type="dxa" w:w="3816"/>
            <w:vAlign w:val="center"/>
            <w:tcMar>
              <w:top w:w="85" w:type="dxa"/>
              <w:left w:w="85" w:type="dxa"/>
              <w:bottom w:w="85" w:type="dxa"/>
              <w:right w:w="85" w:type="dxa"/>
            </w:tcMar>
          </w:tcPr>
          <w:p>
            <w:pPr>
              <w:spacing w:after="40" w:before="20" w:line="245" w:lineRule="auto"/>
            </w:pPr>
            <w:r>
              <w:rPr>
                <w:b w:val="0"/>
                <w:sz w:val="18"/>
              </w:rPr>
              <w:t>#895 Agendar reunion para simular el uso y validar la personalizacion</w:t>
            </w:r>
          </w:p>
        </w:tc>
        <w:tc>
          <w:tcPr>
            <w:tcW w:type="dxa" w:w="6264"/>
            <w:vAlign w:val="center"/>
            <w:tcMar>
              <w:top w:w="85" w:type="dxa"/>
              <w:left w:w="85" w:type="dxa"/>
              <w:bottom w:w="85" w:type="dxa"/>
              <w:right w:w="85" w:type="dxa"/>
            </w:tcMar>
          </w:tcPr>
          <w:p>
            <w:pPr>
              <w:spacing w:after="40" w:before="20" w:line="245" w:lineRule="auto"/>
            </w:pPr>
            <w:r>
              <w:rPr>
                <w:b w:val="0"/>
                <w:sz w:val="18"/>
              </w:rPr>
              <w:t>Está cancelada. No tratarla como pendiente activa ni reactivarla automáticamente. Usar G03 (#795) para coordinación y C07 (#812) para la prueba.</w:t>
            </w:r>
          </w:p>
        </w:tc>
      </w:tr>
      <w:tr>
        <w:trPr>
          <w:cantSplit/>
        </w:trPr>
        <w:tc>
          <w:tcPr>
            <w:tcW w:type="dxa" w:w="3816"/>
            <w:vAlign w:val="center"/>
            <w:tcMar>
              <w:top w:w="85" w:type="dxa"/>
              <w:left w:w="85" w:type="dxa"/>
              <w:bottom w:w="85" w:type="dxa"/>
              <w:right w:w="85" w:type="dxa"/>
            </w:tcMar>
          </w:tcPr>
          <w:p>
            <w:pPr>
              <w:spacing w:after="40" w:before="20" w:line="245" w:lineRule="auto"/>
            </w:pPr>
            <w:r>
              <w:rPr>
                <w:b w:val="0"/>
                <w:sz w:val="18"/>
              </w:rPr>
              <w:t>#896 estructura de nube</w:t>
            </w:r>
          </w:p>
        </w:tc>
        <w:tc>
          <w:tcPr>
            <w:tcW w:type="dxa" w:w="6264"/>
            <w:vAlign w:val="center"/>
            <w:tcMar>
              <w:top w:w="85" w:type="dxa"/>
              <w:left w:w="85" w:type="dxa"/>
              <w:bottom w:w="85" w:type="dxa"/>
              <w:right w:w="85" w:type="dxa"/>
            </w:tcMar>
          </w:tcPr>
          <w:p>
            <w:pPr>
              <w:spacing w:after="40" w:before="20" w:line="245" w:lineRule="auto"/>
            </w:pPr>
            <w:r>
              <w:rPr>
                <w:b w:val="0"/>
                <w:sz w:val="18"/>
              </w:rPr>
              <w:t>Se solapa con el repositorio/documentos y no tiene responsable ni vencimiento. Relacionarla con E05 (#819), sin abrir una segunda línea de trabajo idéntica.</w:t>
            </w:r>
          </w:p>
        </w:tc>
      </w:tr>
      <w:tr>
        <w:trPr>
          <w:cantSplit/>
        </w:trPr>
        <w:tc>
          <w:tcPr>
            <w:tcW w:type="dxa" w:w="3816"/>
            <w:vAlign w:val="center"/>
            <w:tcMar>
              <w:top w:w="85" w:type="dxa"/>
              <w:left w:w="85" w:type="dxa"/>
              <w:bottom w:w="85" w:type="dxa"/>
              <w:right w:w="85" w:type="dxa"/>
            </w:tcMar>
          </w:tcPr>
          <w:p>
            <w:pPr>
              <w:spacing w:after="40" w:before="20" w:line="245" w:lineRule="auto"/>
            </w:pPr>
            <w:r>
              <w:rPr>
                <w:b w:val="0"/>
                <w:sz w:val="18"/>
              </w:rPr>
              <w:t>#951 I07 / #811 C06</w:t>
            </w:r>
          </w:p>
        </w:tc>
        <w:tc>
          <w:tcPr>
            <w:tcW w:type="dxa" w:w="6264"/>
            <w:vAlign w:val="center"/>
            <w:tcMar>
              <w:top w:w="85" w:type="dxa"/>
              <w:left w:w="85" w:type="dxa"/>
              <w:bottom w:w="85" w:type="dxa"/>
              <w:right w:w="85" w:type="dxa"/>
            </w:tcMar>
          </w:tcPr>
          <w:p>
            <w:pPr>
              <w:spacing w:after="40" w:before="20" w:line="245" w:lineRule="auto"/>
            </w:pPr>
            <w:r>
              <w:rPr>
                <w:b w:val="0"/>
                <w:sz w:val="18"/>
              </w:rPr>
              <w:t>Separar conexión técnica del correo de clasificación, asignación y automatización comercial.</w:t>
            </w:r>
          </w:p>
        </w:tc>
      </w:tr>
    </w:tbl>
    <w:p>
      <w:pPr>
        <w:pStyle w:val="Heading1"/>
      </w:pPr>
      <w:r>
        <w:t>Dependencia de calendario que debe resolverse</w:t>
      </w:r>
    </w:p>
    <w:tbl>
      <w:tblPr>
        <w:tblW w:type="auto" w:w="0"/>
        <w:jc w:val="center"/>
        <w:tblLayout w:type="fixed"/>
        <w:tblLook w:firstColumn="1" w:firstRow="1" w:lastColumn="0" w:lastRow="0" w:noHBand="0" w:noVBand="1" w:val="04A0"/>
      </w:tblPr>
      <w:tblGrid>
        <w:gridCol w:w="3816"/>
        <w:gridCol w:w="6264"/>
      </w:tblGrid>
      <w:tr>
        <w:trPr>
          <w:tblHeader/>
          <w:cantSplit/>
        </w:trPr>
        <w:tc>
          <w:tcPr>
            <w:tcW w:type="dxa" w:w="3816"/>
            <w:vAlign w:val="center"/>
            <w:tcMar>
              <w:top w:w="85" w:type="dxa"/>
              <w:left w:w="85" w:type="dxa"/>
              <w:bottom w:w="85" w:type="dxa"/>
              <w:right w:w="85" w:type="dxa"/>
            </w:tcMar>
            <w:shd w:fill="16364A"/>
          </w:tcPr>
          <w:p>
            <w:pPr>
              <w:spacing w:after="40" w:before="20" w:line="245" w:lineRule="auto"/>
            </w:pPr>
            <w:r>
              <w:rPr>
                <w:b/>
                <w:color w:val="FFFFFF"/>
                <w:sz w:val="18"/>
              </w:rPr>
              <w:t>Fechas actuales del plan</w:t>
            </w:r>
          </w:p>
        </w:tc>
        <w:tc>
          <w:tcPr>
            <w:tcW w:type="dxa" w:w="6264"/>
            <w:vAlign w:val="center"/>
            <w:tcMar>
              <w:top w:w="85" w:type="dxa"/>
              <w:left w:w="85" w:type="dxa"/>
              <w:bottom w:w="85" w:type="dxa"/>
              <w:right w:w="85" w:type="dxa"/>
            </w:tcMar>
            <w:shd w:fill="16364A"/>
          </w:tcPr>
          <w:p>
            <w:pPr>
              <w:spacing w:after="40" w:before="20" w:line="245" w:lineRule="auto"/>
            </w:pPr>
            <w:r>
              <w:rPr>
                <w:b/>
                <w:color w:val="FFFFFF"/>
                <w:sz w:val="18"/>
              </w:rPr>
              <w:t>Implicación</w:t>
            </w:r>
          </w:p>
        </w:tc>
      </w:tr>
      <w:tr>
        <w:trPr>
          <w:cantSplit/>
        </w:trPr>
        <w:tc>
          <w:tcPr>
            <w:tcW w:type="dxa" w:w="3816"/>
            <w:vAlign w:val="center"/>
            <w:tcMar>
              <w:top w:w="85" w:type="dxa"/>
              <w:left w:w="85" w:type="dxa"/>
              <w:bottom w:w="85" w:type="dxa"/>
              <w:right w:w="85" w:type="dxa"/>
            </w:tcMar>
          </w:tcPr>
          <w:p>
            <w:pPr>
              <w:spacing w:after="40" w:before="20" w:line="245" w:lineRule="auto"/>
            </w:pPr>
            <w:r>
              <w:rPr>
                <w:b w:val="0"/>
                <w:sz w:val="18"/>
              </w:rPr>
              <w:t>30/10: C01 #806 y C03 #808</w:t>
              <w:br/>
              <w:t>06/11: C02 #807 y C05 #810</w:t>
              <w:br/>
              <w:t>13/11: C07 #812, C08 #813 y C09 #814</w:t>
            </w:r>
          </w:p>
        </w:tc>
        <w:tc>
          <w:tcPr>
            <w:tcW w:type="dxa" w:w="6264"/>
            <w:vAlign w:val="center"/>
            <w:tcMar>
              <w:top w:w="85" w:type="dxa"/>
              <w:left w:w="85" w:type="dxa"/>
              <w:bottom w:w="85" w:type="dxa"/>
              <w:right w:w="85" w:type="dxa"/>
            </w:tcMar>
          </w:tcPr>
          <w:p>
            <w:pPr>
              <w:spacing w:after="40" w:before="20" w:line="245" w:lineRule="auto"/>
            </w:pPr>
            <w:r>
              <w:rPr>
                <w:b w:val="0"/>
                <w:sz w:val="18"/>
              </w:rPr>
              <w:t>El CRM tiene como referencia el 13 de noviembre. La reunión habló de 2 a 3 semanas, no de nuevos vencimientos individuales.</w:t>
            </w:r>
          </w:p>
        </w:tc>
      </w:tr>
      <w:tr>
        <w:trPr>
          <w:cantSplit/>
        </w:trPr>
        <w:tc>
          <w:tcPr>
            <w:tcW w:type="dxa" w:w="3816"/>
            <w:vAlign w:val="center"/>
            <w:tcMar>
              <w:top w:w="85" w:type="dxa"/>
              <w:left w:w="85" w:type="dxa"/>
              <w:bottom w:w="85" w:type="dxa"/>
              <w:right w:w="85" w:type="dxa"/>
            </w:tcMar>
          </w:tcPr>
          <w:p>
            <w:pPr>
              <w:spacing w:after="40" w:before="20" w:line="245" w:lineRule="auto"/>
            </w:pPr>
            <w:r>
              <w:rPr>
                <w:b w:val="0"/>
                <w:sz w:val="18"/>
              </w:rPr>
              <w:t>20/11: E03 #817</w:t>
              <w:br/>
              <w:t>27/11: E04 #818 y E05 #819</w:t>
            </w:r>
          </w:p>
        </w:tc>
        <w:tc>
          <w:tcPr>
            <w:tcW w:type="dxa" w:w="6264"/>
            <w:vAlign w:val="center"/>
            <w:tcMar>
              <w:top w:w="85" w:type="dxa"/>
              <w:left w:w="85" w:type="dxa"/>
              <w:bottom w:w="85" w:type="dxa"/>
              <w:right w:w="85" w:type="dxa"/>
            </w:tcMar>
          </w:tcPr>
          <w:p>
            <w:pPr>
              <w:spacing w:after="40" w:before="20" w:line="245" w:lineRule="auto"/>
            </w:pPr>
            <w:r>
              <w:rPr>
                <w:b w:val="0"/>
                <w:sz w:val="18"/>
              </w:rPr>
              <w:t>El flujo comercial necesita antes el encargo al proyectista, fechas y acceso documental. Proponer un subconjunto mínimo adelantado para CRM, dejando el despliegue completo de Ingeniería en su fase.</w:t>
            </w:r>
          </w:p>
        </w:tc>
      </w:tr>
    </w:tbl>
    <w:p>
      <w:r>
        <w:rPr>
          <w:b w:val="0"/>
        </w:rPr>
        <w:t>Las fechas anteriores son vencimientos ya registrados de tareas padre, no compromisos nuevos de estas subtareas. La propuesta requiere priorizar la capacidad técnica de Rodrigo (máximo 20 h/semana según el proyecto).</w:t>
      </w:r>
    </w:p>
    <w:p>
      <w:pPr>
        <w:pStyle w:val="Heading1"/>
      </w:pPr>
      <w:r>
        <w:t>No reabrir lo realizado ni dar por cerrado lo no probado</w:t>
      </w:r>
    </w:p>
    <w:p>
      <w:r>
        <w:rPr>
          <w:b w:val="0"/>
        </w:rPr>
        <w:t>Reportado como realizado en la reunión: carga de clientes y datos fiscales, alta de usuarios, entrega de plantillas y ejemplo de Rafael; respaldo diario. Continúan pendientes los permisos. I04 todavía indica dominio/HTTPS por definir y prueba de restauración en proceso con Albert Wachi: no inferir que una restauración ya fue probada por existir respaldos.</w:t>
      </w:r>
    </w:p>
    <w:p>
      <w:r>
        <w:rPr>
          <w:b w:val="0"/>
        </w:rPr>
        <w:t>No son compromisos firmes de esta minuta: exportación a Excel, sincronización completa con SharePoint, sustitución inmediata de Revit y cálculos complejos, ni acceso al correo personal de Carlos. El catálogo comercial tampoco sustituye el desglose de Ingeniería necesario para compras/fabricación.</w:t>
      </w:r>
    </w:p>
    <w:p>
      <w:pPr>
        <w:spacing w:after="140"/>
      </w:pPr>
      <w:r>
        <w:rPr>
          <w:b w:val="0"/>
          <w:color w:val="637481"/>
          <w:sz w:val="17"/>
        </w:rPr>
        <w:t>Fuentes: consulta directa de Odoo, proyecto 51 y tareas citadas; Reunión 2, 3:27-4:48, 9:28, 12:04-18:05, 1:09:04-1:09:34, 2:04:43-2:05:19 y cierre. Estado y etapa se consultaron por separado; la columna Done no demuestra por sí sola cierre funcional.</w:t>
      </w:r>
    </w:p>
    <w:sectPr w:rsidR="00FC693F" w:rsidRPr="0006063C" w:rsidSect="00034616">
      <w:footerReference w:type="default" r:id="rId9"/>
      <w:pgSz w:w="12240" w:h="15840"/>
      <w:pgMar w:top="979"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481"/>
        <w:sz w:val="16"/>
      </w:rPr>
      <w:t xml:space="preserve">CMR | Reunión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16364A"/>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76B71"/>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16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1636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20"/>
    </w:pPr>
    <w:rPr>
      <w:rFonts w:asciiTheme="majorHAnsi" w:eastAsiaTheme="majorEastAsia" w:hAnsiTheme="majorHAnsi" w:cstheme="majorBidi" w:ascii="Calibri" w:hAnsi="Calibri"/>
      <w:i/>
      <w:iCs/>
      <w:color w:val="53667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CMR - Reunion 2 y correspondencia con Odoo</dc:title>
  <dc:subject>Pendientes CiLi y CMR; propuesta de subtareas para revision</dc:subject>
  <dc:creator/>
  <cp:keywords>CMR, CiLi, Odoo, ERP, CRM, minuta, reunion 2</cp:keywords>
  <dc:description>generated by python-docx</dc:description>
  <cp:lastModifiedBy/>
  <cp:revision>1</cp:revision>
  <dcterms:created xsi:type="dcterms:W3CDTF">2013-12-23T23:15:00Z</dcterms:created>
  <dcterms:modified xsi:type="dcterms:W3CDTF">2013-12-23T23:15:00Z</dcterms:modified>
  <cp:category/>
</cp:coreProperties>
</file>