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072F4" w14:paraId="73641C92" w14:textId="77777777">
        <w:trPr>
          <w:trHeight w:val="4200"/>
          <w:jc w:val="center"/>
        </w:trPr>
        <w:tc>
          <w:tcPr>
            <w:tcW w:w="9072" w:type="dxa"/>
            <w:shd w:val="clear" w:color="auto" w:fill="1B2A4A"/>
          </w:tcPr>
          <w:p w14:paraId="3A1A6C87" w14:textId="77777777" w:rsidR="000072F4" w:rsidRDefault="00000000">
            <w:pPr>
              <w:spacing w:before="640" w:after="160"/>
              <w:jc w:val="center"/>
            </w:pPr>
            <w:r>
              <w:rPr>
                <w:rFonts w:ascii="Arial" w:hAnsi="Arial"/>
                <w:b/>
                <w:color w:val="FFFFFF"/>
                <w:sz w:val="56"/>
              </w:rPr>
              <w:t>SmartReg Fiscal</w:t>
            </w:r>
          </w:p>
          <w:p w14:paraId="22C250F6" w14:textId="77777777" w:rsidR="000072F4" w:rsidRDefault="00000000">
            <w:pPr>
              <w:jc w:val="center"/>
            </w:pPr>
            <w:r>
              <w:rPr>
                <w:rFonts w:ascii="Arial" w:hAnsi="Arial"/>
                <w:color w:val="B3C8E8"/>
                <w:sz w:val="28"/>
              </w:rPr>
              <w:t>Plataforma Inteligente de Regularização Fiscal</w:t>
            </w:r>
          </w:p>
          <w:p w14:paraId="13A89FA6" w14:textId="7F81538D" w:rsidR="000072F4" w:rsidRDefault="00874A27">
            <w:pPr>
              <w:spacing w:before="80"/>
              <w:jc w:val="center"/>
            </w:pPr>
            <w:proofErr w:type="spellStart"/>
            <w:r>
              <w:rPr>
                <w:rFonts w:ascii="Arial" w:hAnsi="Arial"/>
                <w:color w:val="B3C8E8"/>
              </w:rPr>
              <w:t>TorusLab</w:t>
            </w:r>
            <w:proofErr w:type="spellEnd"/>
          </w:p>
          <w:p w14:paraId="47015236" w14:textId="77777777" w:rsidR="000072F4" w:rsidRDefault="00000000">
            <w:pPr>
              <w:spacing w:before="320"/>
              <w:jc w:val="center"/>
            </w:pPr>
            <w:r>
              <w:rPr>
                <w:rFonts w:ascii="Arial" w:hAnsi="Arial"/>
                <w:b/>
                <w:color w:val="FFD080"/>
                <w:sz w:val="26"/>
              </w:rPr>
              <w:t>PROPOSTA DE ARQUITETURA DE SOLUÇÃO</w:t>
            </w:r>
          </w:p>
          <w:p w14:paraId="18BBB038" w14:textId="6A120626" w:rsidR="000072F4" w:rsidRDefault="00000000">
            <w:pPr>
              <w:spacing w:before="400"/>
              <w:jc w:val="center"/>
            </w:pPr>
            <w:r>
              <w:rPr>
                <w:rFonts w:ascii="Arial" w:hAnsi="Arial"/>
                <w:color w:val="90AACC"/>
                <w:sz w:val="20"/>
              </w:rPr>
              <w:t xml:space="preserve">Versão </w:t>
            </w:r>
            <w:proofErr w:type="gramStart"/>
            <w:r>
              <w:rPr>
                <w:rFonts w:ascii="Arial" w:hAnsi="Arial"/>
                <w:color w:val="90AACC"/>
                <w:sz w:val="20"/>
              </w:rPr>
              <w:t>1.0  |</w:t>
            </w:r>
            <w:proofErr w:type="gramEnd"/>
            <w:r>
              <w:rPr>
                <w:rFonts w:ascii="Arial" w:hAnsi="Arial"/>
                <w:color w:val="90AACC"/>
                <w:sz w:val="20"/>
              </w:rPr>
              <w:t xml:space="preserve">  Abril 2026</w:t>
            </w:r>
          </w:p>
        </w:tc>
      </w:tr>
    </w:tbl>
    <w:p w14:paraId="62A91123" w14:textId="77777777" w:rsidR="000072F4" w:rsidRDefault="00000000">
      <w:pPr>
        <w:spacing w:after="0"/>
      </w:pPr>
      <w:r>
        <w:br w:type="page"/>
      </w:r>
    </w:p>
    <w:p w14:paraId="0B034E8C" w14:textId="77777777" w:rsidR="000072F4" w:rsidRDefault="00000000">
      <w:pPr>
        <w:pBdr>
          <w:bottom w:val="single" w:sz="16" w:space="1" w:color="155FBF"/>
        </w:pBdr>
        <w:spacing w:before="360" w:after="120"/>
      </w:pPr>
      <w:r>
        <w:rPr>
          <w:rFonts w:ascii="Arial" w:hAnsi="Arial"/>
          <w:b/>
          <w:color w:val="1B2A4A"/>
          <w:sz w:val="30"/>
        </w:rPr>
        <w:lastRenderedPageBreak/>
        <w:t>1. Contexto e Objetivos Estratégicos</w:t>
      </w:r>
    </w:p>
    <w:p w14:paraId="18E91ABE" w14:textId="77777777" w:rsidR="000072F4" w:rsidRDefault="00000000">
      <w:pPr>
        <w:spacing w:before="40" w:after="80"/>
      </w:pPr>
      <w:r>
        <w:rPr>
          <w:rFonts w:ascii="Arial" w:hAnsi="Arial"/>
          <w:color w:val="3C3C3C"/>
          <w:sz w:val="20"/>
        </w:rPr>
        <w:t>O Brasil registra cerca de 7,2 milhões de empresas inadimplentes (31,6% dos negócios ativos), com R$ 141,6 bilhões em débitos em aberto concentrados em 6,8 milhões de MPEs. Somente em Curitiba, 150 mil CPFs/CNPJs figuram na Dívida Ativa Municipal, representando 8 bilhões de reais. O processo de recuperação fiscal atual é manual, fragmentado entre esferas federal/estadual/municipal e exige do contribuinte navegar em múltiplos sistemas com linguagem técnica — gerando baixa adesão, alto custo de cobrança e judicialização excessiva.</w:t>
      </w:r>
    </w:p>
    <w:p w14:paraId="41B3A23F" w14:textId="77777777" w:rsidR="000072F4" w:rsidRDefault="00000000">
      <w:pPr>
        <w:spacing w:before="240" w:after="80"/>
      </w:pPr>
      <w:r>
        <w:rPr>
          <w:rFonts w:ascii="Arial" w:hAnsi="Arial"/>
          <w:b/>
          <w:color w:val="155FBF"/>
          <w:sz w:val="24"/>
        </w:rPr>
        <w:t>1.1  Objetivo da Plataforma</w:t>
      </w:r>
    </w:p>
    <w:p w14:paraId="23641FB5" w14:textId="77777777" w:rsidR="000072F4" w:rsidRDefault="00000000">
      <w:pPr>
        <w:spacing w:before="40" w:after="80"/>
      </w:pPr>
      <w:r>
        <w:rPr>
          <w:rFonts w:ascii="Arial" w:hAnsi="Arial"/>
          <w:color w:val="3C3C3C"/>
          <w:sz w:val="20"/>
        </w:rPr>
        <w:t>A SmartReg Fiscal é uma Plataforma Pública Inteligente de Regularização Fiscal, integrada ao gov.br, que centraliza extratos de débitos (federal, estadual, municipal), simula parcelamentos e transações tributárias, emite notificações personalizadas e aplica análise de risco para priorização de casos, reduzindo custos e ampliando a adesão voluntária à regularização.</w:t>
      </w:r>
    </w:p>
    <w:p w14:paraId="53212DE8" w14:textId="77777777" w:rsidR="000072F4" w:rsidRDefault="00000000">
      <w:pPr>
        <w:spacing w:before="240" w:after="80"/>
      </w:pPr>
      <w:r>
        <w:rPr>
          <w:rFonts w:ascii="Arial" w:hAnsi="Arial"/>
          <w:b/>
          <w:color w:val="155FBF"/>
          <w:sz w:val="24"/>
        </w:rPr>
        <w:t>1.2  Escopo da POC</w:t>
      </w:r>
    </w:p>
    <w:p w14:paraId="3AEAFE3D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Autenticação única via gov.br (login.gov.br / govbr-auth)</w:t>
      </w:r>
    </w:p>
    <w:p w14:paraId="642845A5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Hub de extratos fiscais — foco inicial na PGM Curitiba (SEFIN/CELEPAR)</w:t>
      </w:r>
    </w:p>
    <w:p w14:paraId="7804C2D3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Simulador de parcelamentos e transação tributária (PGFN/AGU)</w:t>
      </w:r>
    </w:p>
    <w:p w14:paraId="69B30A77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Motor analítico de risco e probabilidade de regularização espontânea</w:t>
      </w:r>
    </w:p>
    <w:p w14:paraId="14A57424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Notificações automatizadas: e-mail, SMS, push (Gov.br Notificações)</w:t>
      </w:r>
    </w:p>
    <w:p w14:paraId="2A6534B0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Piloto: 5.000 PF + 2.000 PJ contribuintes selecionados</w:t>
      </w:r>
    </w:p>
    <w:p w14:paraId="07A312D7" w14:textId="77777777" w:rsidR="000072F4" w:rsidRDefault="00000000">
      <w:pPr>
        <w:spacing w:after="0"/>
      </w:pPr>
      <w:r>
        <w:br w:type="page"/>
      </w:r>
    </w:p>
    <w:p w14:paraId="16167FD9" w14:textId="77777777" w:rsidR="000072F4" w:rsidRDefault="00000000">
      <w:pPr>
        <w:pBdr>
          <w:bottom w:val="single" w:sz="16" w:space="1" w:color="155FBF"/>
        </w:pBdr>
        <w:spacing w:before="360" w:after="120"/>
      </w:pPr>
      <w:r>
        <w:rPr>
          <w:rFonts w:ascii="Arial" w:hAnsi="Arial"/>
          <w:b/>
          <w:color w:val="1B2A4A"/>
          <w:sz w:val="30"/>
        </w:rPr>
        <w:lastRenderedPageBreak/>
        <w:t>2. Visão Geral da Arquitetura</w:t>
      </w:r>
    </w:p>
    <w:p w14:paraId="78337514" w14:textId="77777777" w:rsidR="000072F4" w:rsidRDefault="00000000">
      <w:pPr>
        <w:spacing w:before="40" w:after="80"/>
      </w:pPr>
      <w:r>
        <w:rPr>
          <w:rFonts w:ascii="Arial" w:hAnsi="Arial"/>
          <w:color w:val="3C3C3C"/>
          <w:sz w:val="20"/>
        </w:rPr>
        <w:t>A solução adota arquitetura em camadas orientada a microsserviços, implantada em nuvem pública soberana (GovCloud / AWS GovBR), seguindo os padrões da EDES (Estratégia de Dados e IA do Governo Federal), LGPD, NIST SP 800-53 e normas do SERPRO/RFB. O diagrama lógico de alto nível é organizado em 5 camadas horizontais.</w:t>
      </w:r>
    </w:p>
    <w:p w14:paraId="691F8AE1" w14:textId="77777777" w:rsidR="000072F4" w:rsidRDefault="00000000">
      <w:pPr>
        <w:spacing w:before="240" w:after="80"/>
      </w:pPr>
      <w:r>
        <w:rPr>
          <w:rFonts w:ascii="Arial" w:hAnsi="Arial"/>
          <w:b/>
          <w:color w:val="155FBF"/>
          <w:sz w:val="24"/>
        </w:rPr>
        <w:t>2.1  Diagrama de Camadas (Visão Lógica)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03"/>
        <w:gridCol w:w="6185"/>
      </w:tblGrid>
      <w:tr w:rsidR="000072F4" w14:paraId="4D800A21" w14:textId="77777777">
        <w:trPr>
          <w:trHeight w:val="560"/>
          <w:jc w:val="center"/>
        </w:trPr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5FBF"/>
          </w:tcPr>
          <w:p w14:paraId="7A1FDB49" w14:textId="77777777" w:rsidR="000072F4" w:rsidRDefault="00000000"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CAMADA 1 — APRESENTAÇÃO (Frontend)</w:t>
            </w:r>
          </w:p>
        </w:tc>
        <w:tc>
          <w:tcPr>
            <w:tcW w:w="6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4F6FA"/>
          </w:tcPr>
          <w:p w14:paraId="332C81E5" w14:textId="77777777" w:rsidR="000072F4" w:rsidRDefault="00000000">
            <w:pPr>
              <w:spacing w:before="80"/>
              <w:ind w:left="144"/>
            </w:pPr>
            <w:r>
              <w:rPr>
                <w:rFonts w:ascii="Arial" w:hAnsi="Arial"/>
                <w:color w:val="3C3C3C"/>
                <w:sz w:val="18"/>
              </w:rPr>
              <w:t>Portal Web (React/Next.js) · App Mobile (PWA) · Login gov.br · Acessibilidade WCAG 2.1 AA</w:t>
            </w:r>
          </w:p>
        </w:tc>
      </w:tr>
      <w:tr w:rsidR="000072F4" w14:paraId="3AE4696F" w14:textId="77777777">
        <w:trPr>
          <w:trHeight w:val="560"/>
          <w:jc w:val="center"/>
        </w:trPr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FA3"/>
          </w:tcPr>
          <w:p w14:paraId="441168F5" w14:textId="77777777" w:rsidR="000072F4" w:rsidRDefault="00000000"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CAMADA 2 — API GATEWAY / BFF</w:t>
            </w:r>
          </w:p>
        </w:tc>
        <w:tc>
          <w:tcPr>
            <w:tcW w:w="6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4F6FA"/>
          </w:tcPr>
          <w:p w14:paraId="6AF45817" w14:textId="77777777" w:rsidR="000072F4" w:rsidRDefault="00000000">
            <w:pPr>
              <w:spacing w:before="80"/>
              <w:ind w:left="144"/>
            </w:pPr>
            <w:r>
              <w:rPr>
                <w:rFonts w:ascii="Arial" w:hAnsi="Arial"/>
                <w:color w:val="3C3C3C"/>
                <w:sz w:val="18"/>
              </w:rPr>
              <w:t>Kong API Gateway · OAuth2/PKCE · Rate Limiting · WAF · Auditoria de Chamadas · API Versioning</w:t>
            </w:r>
          </w:p>
        </w:tc>
      </w:tr>
      <w:tr w:rsidR="000072F4" w14:paraId="4647555A" w14:textId="77777777">
        <w:trPr>
          <w:trHeight w:val="560"/>
          <w:jc w:val="center"/>
        </w:trPr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D6B9E"/>
          </w:tcPr>
          <w:p w14:paraId="67ADA38F" w14:textId="77777777" w:rsidR="000072F4" w:rsidRDefault="00000000"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CAMADA 3 — MICROSSERVIÇOS (Backend)</w:t>
            </w:r>
          </w:p>
        </w:tc>
        <w:tc>
          <w:tcPr>
            <w:tcW w:w="6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4F6FA"/>
          </w:tcPr>
          <w:p w14:paraId="0B6895CB" w14:textId="77777777" w:rsidR="000072F4" w:rsidRDefault="00000000">
            <w:pPr>
              <w:spacing w:before="80"/>
              <w:ind w:left="144"/>
            </w:pPr>
            <w:r>
              <w:rPr>
                <w:rFonts w:ascii="Arial" w:hAnsi="Arial"/>
                <w:color w:val="3C3C3C"/>
                <w:sz w:val="18"/>
              </w:rPr>
              <w:t>Auth Service · Extrato Service · Simulador Service · Notificação Service · Risk Engine · Audit Service</w:t>
            </w:r>
          </w:p>
        </w:tc>
      </w:tr>
      <w:tr w:rsidR="000072F4" w14:paraId="1CC95DE5" w14:textId="77777777">
        <w:trPr>
          <w:trHeight w:val="560"/>
          <w:jc w:val="center"/>
        </w:trPr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7BA8"/>
          </w:tcPr>
          <w:p w14:paraId="39A237E9" w14:textId="77777777" w:rsidR="000072F4" w:rsidRDefault="00000000"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CAMADA 4 — INTEGRAÇÃO (ESB / Adaptadores)</w:t>
            </w:r>
          </w:p>
        </w:tc>
        <w:tc>
          <w:tcPr>
            <w:tcW w:w="6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4F6FA"/>
          </w:tcPr>
          <w:p w14:paraId="1F47B3CC" w14:textId="77777777" w:rsidR="000072F4" w:rsidRDefault="00000000">
            <w:pPr>
              <w:spacing w:before="80"/>
              <w:ind w:left="144"/>
            </w:pPr>
            <w:r>
              <w:rPr>
                <w:rFonts w:ascii="Arial" w:hAnsi="Arial"/>
                <w:color w:val="3C3C3C"/>
                <w:sz w:val="18"/>
              </w:rPr>
              <w:t>Conector PGM-Curitiba (CELEPAR) · Conector PGFN/SAJ · Conector RFB · Adaptador SERPRO · Gov.br Notificações</w:t>
            </w:r>
          </w:p>
        </w:tc>
      </w:tr>
      <w:tr w:rsidR="000072F4" w14:paraId="4B6F495E" w14:textId="77777777">
        <w:trPr>
          <w:trHeight w:val="560"/>
          <w:jc w:val="center"/>
        </w:trPr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2A4A"/>
          </w:tcPr>
          <w:p w14:paraId="7423EA49" w14:textId="77777777" w:rsidR="000072F4" w:rsidRDefault="00000000"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CAMADA 5 — DADOS (Data Lake + Operacional)</w:t>
            </w:r>
          </w:p>
        </w:tc>
        <w:tc>
          <w:tcPr>
            <w:tcW w:w="6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4F6FA"/>
          </w:tcPr>
          <w:p w14:paraId="20DFF965" w14:textId="77777777" w:rsidR="000072F4" w:rsidRDefault="00000000">
            <w:pPr>
              <w:spacing w:before="80"/>
              <w:ind w:left="144"/>
            </w:pPr>
            <w:r>
              <w:rPr>
                <w:rFonts w:ascii="Arial" w:hAnsi="Arial"/>
                <w:color w:val="3C3C3C"/>
                <w:sz w:val="18"/>
              </w:rPr>
              <w:t>PostgreSQL (Transacional) · Apache Spark (Processamento) · Delta Lake (Histórico) · Redis (Cache) · Elasticsearch (Busca)</w:t>
            </w:r>
          </w:p>
        </w:tc>
      </w:tr>
    </w:tbl>
    <w:p w14:paraId="075E8567" w14:textId="77777777" w:rsidR="000072F4" w:rsidRDefault="000072F4"/>
    <w:p w14:paraId="50306342" w14:textId="77777777" w:rsidR="000072F4" w:rsidRDefault="00000000">
      <w:pPr>
        <w:spacing w:after="0"/>
      </w:pPr>
      <w:r>
        <w:br w:type="page"/>
      </w:r>
    </w:p>
    <w:p w14:paraId="6B5CC692" w14:textId="77777777" w:rsidR="000072F4" w:rsidRDefault="00000000">
      <w:pPr>
        <w:pBdr>
          <w:bottom w:val="single" w:sz="16" w:space="1" w:color="155FBF"/>
        </w:pBdr>
        <w:spacing w:before="360" w:after="120"/>
      </w:pPr>
      <w:r>
        <w:rPr>
          <w:rFonts w:ascii="Arial" w:hAnsi="Arial"/>
          <w:b/>
          <w:color w:val="1B2A4A"/>
          <w:sz w:val="30"/>
        </w:rPr>
        <w:lastRenderedPageBreak/>
        <w:t>3. Stack Tecnológica Recomendada</w:t>
      </w:r>
    </w:p>
    <w:p w14:paraId="613AC8F2" w14:textId="77777777" w:rsidR="000072F4" w:rsidRDefault="00000000">
      <w:pPr>
        <w:spacing w:before="240" w:after="80"/>
      </w:pPr>
      <w:r>
        <w:rPr>
          <w:rFonts w:ascii="Arial" w:hAnsi="Arial"/>
          <w:b/>
          <w:color w:val="155FBF"/>
          <w:sz w:val="24"/>
        </w:rPr>
        <w:t>3.x  Frontend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0072F4" w14:paraId="3F91D0AB" w14:textId="77777777">
        <w:trPr>
          <w:trHeight w:val="360"/>
          <w:jc w:val="center"/>
        </w:trPr>
        <w:tc>
          <w:tcPr>
            <w:tcW w:w="4536" w:type="dxa"/>
            <w:tcBorders>
              <w:top w:val="single" w:sz="4" w:space="0" w:color="155FBF"/>
              <w:left w:val="single" w:sz="4" w:space="0" w:color="155FBF"/>
              <w:bottom w:val="single" w:sz="4" w:space="0" w:color="155FBF"/>
              <w:right w:val="single" w:sz="4" w:space="0" w:color="155FBF"/>
            </w:tcBorders>
            <w:shd w:val="clear" w:color="auto" w:fill="155FBF"/>
          </w:tcPr>
          <w:p w14:paraId="273BDA23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FFFFFF"/>
                <w:sz w:val="19"/>
              </w:rPr>
              <w:t>Componente</w:t>
            </w:r>
          </w:p>
        </w:tc>
        <w:tc>
          <w:tcPr>
            <w:tcW w:w="4536" w:type="dxa"/>
            <w:tcBorders>
              <w:top w:val="single" w:sz="4" w:space="0" w:color="155FBF"/>
              <w:left w:val="single" w:sz="4" w:space="0" w:color="155FBF"/>
              <w:bottom w:val="single" w:sz="4" w:space="0" w:color="155FBF"/>
              <w:right w:val="single" w:sz="4" w:space="0" w:color="155FBF"/>
            </w:tcBorders>
            <w:shd w:val="clear" w:color="auto" w:fill="155FBF"/>
          </w:tcPr>
          <w:p w14:paraId="3E2C2B9C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FFFFFF"/>
                <w:sz w:val="19"/>
              </w:rPr>
              <w:t>Tecnologia / Decisão</w:t>
            </w:r>
          </w:p>
        </w:tc>
      </w:tr>
      <w:tr w:rsidR="000072F4" w14:paraId="6BC0DB3B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57FF1785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Framework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70363CA1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Next.js 14 (React 18) com SSR para SEO e performance</w:t>
            </w:r>
          </w:p>
        </w:tc>
      </w:tr>
      <w:tr w:rsidR="000072F4" w14:paraId="0B4D03B0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60A7521B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Estilo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0E05B066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TailwindCSS + Radix UI — compatível com DS Gov (Design System gov.br)</w:t>
            </w:r>
          </w:p>
        </w:tc>
      </w:tr>
      <w:tr w:rsidR="000072F4" w14:paraId="76ACE8E8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2493271E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PWA / Mobile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C507BDF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Service Worker + Capacitor.js para Android/iOS sem app nativo</w:t>
            </w:r>
          </w:p>
        </w:tc>
      </w:tr>
      <w:tr w:rsidR="000072F4" w14:paraId="19389142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627016BF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Acessibilidade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01259101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WCAG 2.1 AA obrigatório — validação automática via axe-core</w:t>
            </w:r>
          </w:p>
        </w:tc>
      </w:tr>
      <w:tr w:rsidR="000072F4" w14:paraId="00FD9E23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2A2945CE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Auth Client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C67B0FD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next-auth + OIDC (login.gov.br) com PKCE</w:t>
            </w:r>
          </w:p>
        </w:tc>
      </w:tr>
    </w:tbl>
    <w:p w14:paraId="1CA853BC" w14:textId="77777777" w:rsidR="000072F4" w:rsidRDefault="000072F4"/>
    <w:p w14:paraId="00A1192C" w14:textId="77777777" w:rsidR="000072F4" w:rsidRDefault="00000000">
      <w:pPr>
        <w:spacing w:before="240" w:after="80"/>
      </w:pPr>
      <w:r>
        <w:rPr>
          <w:rFonts w:ascii="Arial" w:hAnsi="Arial"/>
          <w:b/>
          <w:color w:val="155FBF"/>
          <w:sz w:val="24"/>
        </w:rPr>
        <w:t>3.x  Backend / Microsserviços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0072F4" w14:paraId="0CB680EE" w14:textId="77777777">
        <w:trPr>
          <w:trHeight w:val="360"/>
          <w:jc w:val="center"/>
        </w:trPr>
        <w:tc>
          <w:tcPr>
            <w:tcW w:w="4536" w:type="dxa"/>
            <w:tcBorders>
              <w:top w:val="single" w:sz="4" w:space="0" w:color="155FBF"/>
              <w:left w:val="single" w:sz="4" w:space="0" w:color="155FBF"/>
              <w:bottom w:val="single" w:sz="4" w:space="0" w:color="155FBF"/>
              <w:right w:val="single" w:sz="4" w:space="0" w:color="155FBF"/>
            </w:tcBorders>
            <w:shd w:val="clear" w:color="auto" w:fill="155FBF"/>
          </w:tcPr>
          <w:p w14:paraId="3F4F675B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FFFFFF"/>
                <w:sz w:val="19"/>
              </w:rPr>
              <w:t>Componente</w:t>
            </w:r>
          </w:p>
        </w:tc>
        <w:tc>
          <w:tcPr>
            <w:tcW w:w="4536" w:type="dxa"/>
            <w:tcBorders>
              <w:top w:val="single" w:sz="4" w:space="0" w:color="155FBF"/>
              <w:left w:val="single" w:sz="4" w:space="0" w:color="155FBF"/>
              <w:bottom w:val="single" w:sz="4" w:space="0" w:color="155FBF"/>
              <w:right w:val="single" w:sz="4" w:space="0" w:color="155FBF"/>
            </w:tcBorders>
            <w:shd w:val="clear" w:color="auto" w:fill="155FBF"/>
          </w:tcPr>
          <w:p w14:paraId="643CD4A4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FFFFFF"/>
                <w:sz w:val="19"/>
              </w:rPr>
              <w:t>Tecnologia / Decisão</w:t>
            </w:r>
          </w:p>
        </w:tc>
      </w:tr>
      <w:tr w:rsidR="000072F4" w14:paraId="483EE4AA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507CECC6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Linguagem principal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63943840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Python 3.12 (FastAPI) — ecossistema de IA/ML nativo, familiar ao SERPRO</w:t>
            </w:r>
          </w:p>
        </w:tc>
      </w:tr>
      <w:tr w:rsidR="000072F4" w14:paraId="5C296BAA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2FD71970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Linguagem auxiliar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69F7A2B2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Java 21 (Spring Boot 3) para integrações legadas PGFN/SAJ</w:t>
            </w:r>
          </w:p>
        </w:tc>
      </w:tr>
      <w:tr w:rsidR="000072F4" w14:paraId="781E9454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C145344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Orquestração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72CB30DD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Apache Kafka para eventos assíncronos (débitos, notificações, auditoria)</w:t>
            </w:r>
          </w:p>
        </w:tc>
      </w:tr>
      <w:tr w:rsidR="000072F4" w14:paraId="4AA8659E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482D5912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Cache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0EBED970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Redis 7 — sessões, rate-limiting, extrato temporário</w:t>
            </w:r>
          </w:p>
        </w:tc>
      </w:tr>
      <w:tr w:rsidR="000072F4" w14:paraId="2CDF28C7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94F46A0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Jobs / Agendamento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1553501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Apache Airflow 2.x — ETL noturno de bases fiscais</w:t>
            </w:r>
          </w:p>
        </w:tc>
      </w:tr>
    </w:tbl>
    <w:p w14:paraId="082C23BA" w14:textId="77777777" w:rsidR="000072F4" w:rsidRDefault="000072F4"/>
    <w:p w14:paraId="20634A59" w14:textId="77777777" w:rsidR="000072F4" w:rsidRDefault="00000000">
      <w:pPr>
        <w:spacing w:before="240" w:after="80"/>
      </w:pPr>
      <w:r>
        <w:rPr>
          <w:rFonts w:ascii="Arial" w:hAnsi="Arial"/>
          <w:b/>
          <w:color w:val="155FBF"/>
          <w:sz w:val="24"/>
        </w:rPr>
        <w:t>3.x  Dados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0072F4" w14:paraId="2F0C4EA6" w14:textId="77777777">
        <w:trPr>
          <w:trHeight w:val="360"/>
          <w:jc w:val="center"/>
        </w:trPr>
        <w:tc>
          <w:tcPr>
            <w:tcW w:w="4536" w:type="dxa"/>
            <w:tcBorders>
              <w:top w:val="single" w:sz="4" w:space="0" w:color="155FBF"/>
              <w:left w:val="single" w:sz="4" w:space="0" w:color="155FBF"/>
              <w:bottom w:val="single" w:sz="4" w:space="0" w:color="155FBF"/>
              <w:right w:val="single" w:sz="4" w:space="0" w:color="155FBF"/>
            </w:tcBorders>
            <w:shd w:val="clear" w:color="auto" w:fill="155FBF"/>
          </w:tcPr>
          <w:p w14:paraId="1C27FF84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FFFFFF"/>
                <w:sz w:val="19"/>
              </w:rPr>
              <w:t>Componente</w:t>
            </w:r>
          </w:p>
        </w:tc>
        <w:tc>
          <w:tcPr>
            <w:tcW w:w="4536" w:type="dxa"/>
            <w:tcBorders>
              <w:top w:val="single" w:sz="4" w:space="0" w:color="155FBF"/>
              <w:left w:val="single" w:sz="4" w:space="0" w:color="155FBF"/>
              <w:bottom w:val="single" w:sz="4" w:space="0" w:color="155FBF"/>
              <w:right w:val="single" w:sz="4" w:space="0" w:color="155FBF"/>
            </w:tcBorders>
            <w:shd w:val="clear" w:color="auto" w:fill="155FBF"/>
          </w:tcPr>
          <w:p w14:paraId="458233DC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FFFFFF"/>
                <w:sz w:val="19"/>
              </w:rPr>
              <w:t>Tecnologia / Decisão</w:t>
            </w:r>
          </w:p>
        </w:tc>
      </w:tr>
      <w:tr w:rsidR="000072F4" w14:paraId="763E0408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631F3F9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Banco Transacional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45695DBD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PostgreSQL 16 + Pgvector (busca semântica de contribuintes)</w:t>
            </w:r>
          </w:p>
        </w:tc>
      </w:tr>
      <w:tr w:rsidR="000072F4" w14:paraId="6583CE6F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442DA815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Data Lake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26960D2A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Delta Lake on MinIO (S3-compatible) — histórico de débitos / audit trail</w:t>
            </w:r>
          </w:p>
        </w:tc>
      </w:tr>
      <w:tr w:rsidR="000072F4" w14:paraId="60919FB5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C9371C9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Processamento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F80F05B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PySpark 3.5 — enriquecimento e feature engineering para o motor de risco</w:t>
            </w:r>
          </w:p>
        </w:tc>
      </w:tr>
      <w:tr w:rsidR="000072F4" w14:paraId="0D342869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4DA8DBFD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Busca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620C4EB4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 xml:space="preserve">Elasticsearch 8 — pesquisa rápida de </w:t>
            </w:r>
            <w:r>
              <w:rPr>
                <w:rFonts w:ascii="Arial" w:hAnsi="Arial"/>
                <w:color w:val="3C3C3C"/>
                <w:sz w:val="19"/>
              </w:rPr>
              <w:lastRenderedPageBreak/>
              <w:t>CPF/CNPJ, índices fiscais</w:t>
            </w:r>
          </w:p>
        </w:tc>
      </w:tr>
      <w:tr w:rsidR="000072F4" w14:paraId="73C1AF85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24FEEF88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lastRenderedPageBreak/>
              <w:t>BI / Analytics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6337EE66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Apache Superset — dashboards para gestores da AGU/PGM</w:t>
            </w:r>
          </w:p>
        </w:tc>
      </w:tr>
    </w:tbl>
    <w:p w14:paraId="687773CE" w14:textId="77777777" w:rsidR="000072F4" w:rsidRDefault="000072F4"/>
    <w:p w14:paraId="49A294A8" w14:textId="77777777" w:rsidR="000072F4" w:rsidRDefault="00000000">
      <w:pPr>
        <w:spacing w:before="240" w:after="80"/>
      </w:pPr>
      <w:r>
        <w:rPr>
          <w:rFonts w:ascii="Arial" w:hAnsi="Arial"/>
          <w:b/>
          <w:color w:val="155FBF"/>
          <w:sz w:val="24"/>
        </w:rPr>
        <w:t>3.x  Infraestrutura &amp; DevOps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0072F4" w14:paraId="2D279AD4" w14:textId="77777777">
        <w:trPr>
          <w:trHeight w:val="360"/>
          <w:jc w:val="center"/>
        </w:trPr>
        <w:tc>
          <w:tcPr>
            <w:tcW w:w="4536" w:type="dxa"/>
            <w:tcBorders>
              <w:top w:val="single" w:sz="4" w:space="0" w:color="155FBF"/>
              <w:left w:val="single" w:sz="4" w:space="0" w:color="155FBF"/>
              <w:bottom w:val="single" w:sz="4" w:space="0" w:color="155FBF"/>
              <w:right w:val="single" w:sz="4" w:space="0" w:color="155FBF"/>
            </w:tcBorders>
            <w:shd w:val="clear" w:color="auto" w:fill="155FBF"/>
          </w:tcPr>
          <w:p w14:paraId="7D2DBD4E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FFFFFF"/>
                <w:sz w:val="19"/>
              </w:rPr>
              <w:t>Componente</w:t>
            </w:r>
          </w:p>
        </w:tc>
        <w:tc>
          <w:tcPr>
            <w:tcW w:w="4536" w:type="dxa"/>
            <w:tcBorders>
              <w:top w:val="single" w:sz="4" w:space="0" w:color="155FBF"/>
              <w:left w:val="single" w:sz="4" w:space="0" w:color="155FBF"/>
              <w:bottom w:val="single" w:sz="4" w:space="0" w:color="155FBF"/>
              <w:right w:val="single" w:sz="4" w:space="0" w:color="155FBF"/>
            </w:tcBorders>
            <w:shd w:val="clear" w:color="auto" w:fill="155FBF"/>
          </w:tcPr>
          <w:p w14:paraId="5EC45617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FFFFFF"/>
                <w:sz w:val="19"/>
              </w:rPr>
              <w:t>Tecnologia / Decisão</w:t>
            </w:r>
          </w:p>
        </w:tc>
      </w:tr>
      <w:tr w:rsidR="000072F4" w14:paraId="374D8B97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636B9520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Cloud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144CBDC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AWS GovCloud (BR) ou Nuvem SERPRO — dados sensíveis fiscais nunca saem do território nacional</w:t>
            </w:r>
          </w:p>
        </w:tc>
      </w:tr>
      <w:tr w:rsidR="000072F4" w14:paraId="14F0C96C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34F10370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Containers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1D1DA287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Docker + Kubernetes (EKS / Rancher) — auto-scaling por demanda</w:t>
            </w:r>
          </w:p>
        </w:tc>
      </w:tr>
      <w:tr w:rsidR="000072F4" w14:paraId="04BBD0B6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746BE66F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CI/CD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6A7424FC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GitHub Actions + ArgoCD — deploy blue-green com rollback automático</w:t>
            </w:r>
          </w:p>
        </w:tc>
      </w:tr>
      <w:tr w:rsidR="000072F4" w14:paraId="4BA0FF4A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34427E94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IaC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75FED0E6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Terraform + Ansible — infraestrutura reproduzível e auditável</w:t>
            </w:r>
          </w:p>
        </w:tc>
      </w:tr>
      <w:tr w:rsidR="000072F4" w14:paraId="26988B7A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7A6E9DC2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Observabilidade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0A7208E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OpenTelemetry → Grafana + Loki + Tempo (traces, logs, metrics)</w:t>
            </w:r>
          </w:p>
        </w:tc>
      </w:tr>
    </w:tbl>
    <w:p w14:paraId="452BA163" w14:textId="77777777" w:rsidR="000072F4" w:rsidRDefault="000072F4"/>
    <w:p w14:paraId="35DB1EAE" w14:textId="77777777" w:rsidR="000072F4" w:rsidRDefault="00000000">
      <w:pPr>
        <w:spacing w:before="240" w:after="80"/>
      </w:pPr>
      <w:r>
        <w:rPr>
          <w:rFonts w:ascii="Arial" w:hAnsi="Arial"/>
          <w:b/>
          <w:color w:val="155FBF"/>
          <w:sz w:val="24"/>
        </w:rPr>
        <w:t>3.x  Segurança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0072F4" w14:paraId="3DB23259" w14:textId="77777777">
        <w:trPr>
          <w:trHeight w:val="360"/>
          <w:jc w:val="center"/>
        </w:trPr>
        <w:tc>
          <w:tcPr>
            <w:tcW w:w="4536" w:type="dxa"/>
            <w:tcBorders>
              <w:top w:val="single" w:sz="4" w:space="0" w:color="155FBF"/>
              <w:left w:val="single" w:sz="4" w:space="0" w:color="155FBF"/>
              <w:bottom w:val="single" w:sz="4" w:space="0" w:color="155FBF"/>
              <w:right w:val="single" w:sz="4" w:space="0" w:color="155FBF"/>
            </w:tcBorders>
            <w:shd w:val="clear" w:color="auto" w:fill="155FBF"/>
          </w:tcPr>
          <w:p w14:paraId="3234D4ED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FFFFFF"/>
                <w:sz w:val="19"/>
              </w:rPr>
              <w:t>Componente</w:t>
            </w:r>
          </w:p>
        </w:tc>
        <w:tc>
          <w:tcPr>
            <w:tcW w:w="4536" w:type="dxa"/>
            <w:tcBorders>
              <w:top w:val="single" w:sz="4" w:space="0" w:color="155FBF"/>
              <w:left w:val="single" w:sz="4" w:space="0" w:color="155FBF"/>
              <w:bottom w:val="single" w:sz="4" w:space="0" w:color="155FBF"/>
              <w:right w:val="single" w:sz="4" w:space="0" w:color="155FBF"/>
            </w:tcBorders>
            <w:shd w:val="clear" w:color="auto" w:fill="155FBF"/>
          </w:tcPr>
          <w:p w14:paraId="2FD9482A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FFFFFF"/>
                <w:sz w:val="19"/>
              </w:rPr>
              <w:t>Tecnologia / Decisão</w:t>
            </w:r>
          </w:p>
        </w:tc>
      </w:tr>
      <w:tr w:rsidR="000072F4" w14:paraId="75136CB3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784257EC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IAM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2433DF8A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Keycloak (IdP) com federação gov.br via OIDC/SAML 2.0</w:t>
            </w:r>
          </w:p>
        </w:tc>
      </w:tr>
      <w:tr w:rsidR="000072F4" w14:paraId="66EDE88B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053DF861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Secrets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356E638D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HashiCorp Vault — chaves, tokens e certificados</w:t>
            </w:r>
          </w:p>
        </w:tc>
      </w:tr>
      <w:tr w:rsidR="000072F4" w14:paraId="5E43AC29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4FFF11E8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WAF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75EE353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AWS WAF / Cloudflare para proteção DDoS e injeção</w:t>
            </w:r>
          </w:p>
        </w:tc>
      </w:tr>
      <w:tr w:rsidR="000072F4" w14:paraId="00C15832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653085E5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Criptografia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118D9CB4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TLS 1.3 em trânsito · AES-256-GCM em repouso · HSM para chaves fiscais</w:t>
            </w:r>
          </w:p>
        </w:tc>
      </w:tr>
      <w:tr w:rsidR="000072F4" w14:paraId="70ACA19C" w14:textId="77777777">
        <w:trPr>
          <w:trHeight w:val="380"/>
          <w:jc w:val="center"/>
        </w:trPr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14612F7D" w14:textId="77777777" w:rsidR="000072F4" w:rsidRDefault="00000000">
            <w:pPr>
              <w:ind w:left="115"/>
            </w:pPr>
            <w:r>
              <w:rPr>
                <w:rFonts w:ascii="Arial" w:hAnsi="Arial"/>
                <w:b/>
                <w:color w:val="1B2A4A"/>
                <w:sz w:val="19"/>
              </w:rPr>
              <w:t>Compliance</w:t>
            </w:r>
          </w:p>
        </w:tc>
        <w:tc>
          <w:tcPr>
            <w:tcW w:w="4536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6F678029" w14:textId="77777777" w:rsidR="000072F4" w:rsidRDefault="00000000">
            <w:pPr>
              <w:ind w:left="115"/>
            </w:pPr>
            <w:r>
              <w:rPr>
                <w:rFonts w:ascii="Arial" w:hAnsi="Arial"/>
                <w:color w:val="3C3C3C"/>
                <w:sz w:val="19"/>
              </w:rPr>
              <w:t>LGPD: minimização de dados, pseudonimização de CPF/CNPJ nas camadas de analytics</w:t>
            </w:r>
          </w:p>
        </w:tc>
      </w:tr>
    </w:tbl>
    <w:p w14:paraId="29C0D7BB" w14:textId="77777777" w:rsidR="000072F4" w:rsidRDefault="000072F4"/>
    <w:p w14:paraId="6620F6B9" w14:textId="77777777" w:rsidR="000072F4" w:rsidRDefault="00000000">
      <w:pPr>
        <w:spacing w:after="0"/>
      </w:pPr>
      <w:r>
        <w:br w:type="page"/>
      </w:r>
    </w:p>
    <w:p w14:paraId="19A61696" w14:textId="77777777" w:rsidR="000072F4" w:rsidRDefault="00000000">
      <w:pPr>
        <w:pBdr>
          <w:bottom w:val="single" w:sz="16" w:space="1" w:color="155FBF"/>
        </w:pBdr>
        <w:spacing w:before="360" w:after="120"/>
      </w:pPr>
      <w:r>
        <w:rPr>
          <w:rFonts w:ascii="Arial" w:hAnsi="Arial"/>
          <w:b/>
          <w:color w:val="1B2A4A"/>
          <w:sz w:val="30"/>
        </w:rPr>
        <w:lastRenderedPageBreak/>
        <w:t>4. Integrações e APIs Externas</w:t>
      </w:r>
    </w:p>
    <w:p w14:paraId="13BD4A3E" w14:textId="77777777" w:rsidR="000072F4" w:rsidRDefault="00000000">
      <w:pPr>
        <w:spacing w:before="40" w:after="80"/>
      </w:pPr>
      <w:r>
        <w:rPr>
          <w:rFonts w:ascii="Arial" w:hAnsi="Arial"/>
          <w:color w:val="3C3C3C"/>
          <w:sz w:val="20"/>
        </w:rPr>
        <w:t>A plataforma se integra com sistemas legados e APIs governamentais via adaptadores de protocolo. Toda comunicação com sistemas externos ocorre pela camada de Integration Service, garantindo resiliência (circuit breaker), retry automático e rastreabilidade de cada chamada.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0072F4" w14:paraId="019D11DE" w14:textId="77777777">
        <w:trPr>
          <w:trHeight w:val="400"/>
          <w:jc w:val="center"/>
        </w:trPr>
        <w:tc>
          <w:tcPr>
            <w:tcW w:w="1814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</w:tcPr>
          <w:p w14:paraId="5FD5E684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Sistema</w:t>
            </w:r>
          </w:p>
        </w:tc>
        <w:tc>
          <w:tcPr>
            <w:tcW w:w="1814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</w:tcPr>
          <w:p w14:paraId="2BF9466C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Protocolo</w:t>
            </w:r>
          </w:p>
        </w:tc>
        <w:tc>
          <w:tcPr>
            <w:tcW w:w="1814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</w:tcPr>
          <w:p w14:paraId="150F695D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Prioridade</w:t>
            </w:r>
          </w:p>
        </w:tc>
        <w:tc>
          <w:tcPr>
            <w:tcW w:w="1814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</w:tcPr>
          <w:p w14:paraId="0B49DD3F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Finalidade</w:t>
            </w:r>
          </w:p>
        </w:tc>
        <w:tc>
          <w:tcPr>
            <w:tcW w:w="1814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</w:tcPr>
          <w:p w14:paraId="2BB95FCD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 w:rsidR="000072F4" w14:paraId="5D44E597" w14:textId="77777777">
        <w:trPr>
          <w:trHeight w:val="420"/>
          <w:jc w:val="center"/>
        </w:trPr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1C335B0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gov.br Auth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8EF51B8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OIDC/OAuth2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501EC855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A7A3C"/>
                <w:sz w:val="18"/>
              </w:rPr>
              <w:t>Alta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47F85738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Login Único — autenticação do contribuinte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1D36E03A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Disponível</w:t>
            </w:r>
          </w:p>
        </w:tc>
      </w:tr>
      <w:tr w:rsidR="000072F4" w14:paraId="5AB6FE08" w14:textId="77777777">
        <w:trPr>
          <w:trHeight w:val="420"/>
          <w:jc w:val="center"/>
        </w:trPr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3728A780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PGFN / SAJ-5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2DAEA494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REST/SOAP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1FEC9BC2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A7A3C"/>
                <w:sz w:val="18"/>
              </w:rPr>
              <w:t>Alta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53201AB9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Débitos inscritos em dívida ativa federal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11ADFC5C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Acesso via convênio PGFN</w:t>
            </w:r>
          </w:p>
        </w:tc>
      </w:tr>
      <w:tr w:rsidR="000072F4" w14:paraId="6FAAF04F" w14:textId="77777777">
        <w:trPr>
          <w:trHeight w:val="420"/>
          <w:jc w:val="center"/>
        </w:trPr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93C63FB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SEFIN Curitiba (CELEPAR)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5CD45D50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REST/CSV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5A0CAAB1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A7A3C"/>
                <w:sz w:val="18"/>
              </w:rPr>
              <w:t>Alta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2FD1FF8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Dívida ativa municipal — 150k CPF/CNPJ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3C03480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API em desenvolvimento; fallback: CSV diário</w:t>
            </w:r>
          </w:p>
        </w:tc>
      </w:tr>
      <w:tr w:rsidR="000072F4" w14:paraId="12AA6C4D" w14:textId="77777777">
        <w:trPr>
          <w:trHeight w:val="420"/>
          <w:jc w:val="center"/>
        </w:trPr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0BD1F06D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SERPRO — CPF/CNPJ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10014477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REST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1BAC4BEB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A7A3C"/>
                <w:sz w:val="18"/>
              </w:rPr>
              <w:t>Alta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3BE9432C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Validação e enriquecimento cadastral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7EC2CFCA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SERPRO GovTI — contrato existente</w:t>
            </w:r>
          </w:p>
        </w:tc>
      </w:tr>
      <w:tr w:rsidR="000072F4" w14:paraId="1D7BD879" w14:textId="77777777">
        <w:trPr>
          <w:trHeight w:val="420"/>
          <w:jc w:val="center"/>
        </w:trPr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2F097973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RFB — Situação Fiscal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19850274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REST (gov.br)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1EBBCF2B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D4A017"/>
                <w:sz w:val="18"/>
              </w:rPr>
              <w:t>Média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260772D9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CND, parcelamentos RFB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6CDBA97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Integrar via ecossistema gov.br</w:t>
            </w:r>
          </w:p>
        </w:tc>
      </w:tr>
      <w:tr w:rsidR="000072F4" w14:paraId="2C3BB9F9" w14:textId="77777777">
        <w:trPr>
          <w:trHeight w:val="420"/>
          <w:jc w:val="center"/>
        </w:trPr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332C547A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Gov.br Notificações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46B1A0D7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REST Webhook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27742DC0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A7A3C"/>
                <w:sz w:val="18"/>
              </w:rPr>
              <w:t>Alta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2F0BE9D4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Push/e-mail/SMS via canal oficial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77164400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Disponível na plataforma gov.br</w:t>
            </w:r>
          </w:p>
        </w:tc>
      </w:tr>
      <w:tr w:rsidR="000072F4" w14:paraId="1453AD38" w14:textId="77777777">
        <w:trPr>
          <w:trHeight w:val="420"/>
          <w:jc w:val="center"/>
        </w:trPr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A5A569C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Transação Tributária PGFN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46B94748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REST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4CF0803A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A7A3C"/>
                <w:sz w:val="18"/>
              </w:rPr>
              <w:t>Alta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41742090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Simulação e adesão ao RERCT/PERT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1F1218F2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API REST disponível — PGFN Digital</w:t>
            </w:r>
          </w:p>
        </w:tc>
      </w:tr>
      <w:tr w:rsidR="000072F4" w14:paraId="041AA489" w14:textId="77777777">
        <w:trPr>
          <w:trHeight w:val="420"/>
          <w:jc w:val="center"/>
        </w:trPr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692904C0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DATAPREV / Previdência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65A8178F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REST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7C9CB2AB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888888"/>
                <w:sz w:val="18"/>
              </w:rPr>
              <w:t>Baixa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227F55A4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Verificação de benefícios para negociação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0A05304D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Fase 2 — fora do escopo da POC</w:t>
            </w:r>
          </w:p>
        </w:tc>
      </w:tr>
      <w:tr w:rsidR="000072F4" w14:paraId="49751618" w14:textId="77777777">
        <w:trPr>
          <w:trHeight w:val="420"/>
          <w:jc w:val="center"/>
        </w:trPr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D26D5D8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Open Finance (BC)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25E66A2E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REST FAPI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13842EB8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888888"/>
                <w:sz w:val="18"/>
              </w:rPr>
              <w:t>Baixa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510111AC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Histórico financeiro para análise de risco</w:t>
            </w:r>
          </w:p>
        </w:tc>
        <w:tc>
          <w:tcPr>
            <w:tcW w:w="181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10FE29B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Fase 2 — requer consentimento</w:t>
            </w:r>
          </w:p>
        </w:tc>
      </w:tr>
    </w:tbl>
    <w:p w14:paraId="2BDD82FE" w14:textId="77777777" w:rsidR="000072F4" w:rsidRDefault="000072F4"/>
    <w:p w14:paraId="6BF70FCE" w14:textId="77777777" w:rsidR="000072F4" w:rsidRDefault="00000000">
      <w:pPr>
        <w:pBdr>
          <w:left w:val="single" w:sz="32" w:space="8" w:color="155FBF"/>
        </w:pBdr>
        <w:shd w:val="clear" w:color="auto" w:fill="D6E4F7"/>
        <w:spacing w:before="160" w:after="0"/>
        <w:ind w:left="288"/>
      </w:pPr>
      <w:r>
        <w:rPr>
          <w:rFonts w:ascii="Arial" w:hAnsi="Arial"/>
          <w:b/>
          <w:color w:val="155FBF"/>
          <w:sz w:val="20"/>
        </w:rPr>
        <w:t>Padrão de Integração Recomendado:</w:t>
      </w:r>
    </w:p>
    <w:p w14:paraId="00264142" w14:textId="77777777" w:rsidR="000072F4" w:rsidRDefault="00000000">
      <w:pPr>
        <w:pBdr>
          <w:left w:val="single" w:sz="32" w:space="8" w:color="155FBF"/>
        </w:pBdr>
        <w:shd w:val="clear" w:color="auto" w:fill="D6E4F7"/>
        <w:spacing w:after="160"/>
        <w:ind w:left="288"/>
      </w:pPr>
      <w:r>
        <w:rPr>
          <w:rFonts w:ascii="Arial" w:hAnsi="Arial"/>
          <w:color w:val="3C3C3C"/>
          <w:sz w:val="20"/>
        </w:rPr>
        <w:t>Todos os adaptadores devem implementar: (1) Circuit Breaker via Resilience4j/Tenacity; (2) Retry com backoff exponencial (3x, 2s/4s/8s); (3) Cache local TTL 5min para extratos; (4) Logging estruturado (JSON) com correlation_id rastreável fim-a-fim.</w:t>
      </w:r>
    </w:p>
    <w:p w14:paraId="56A23859" w14:textId="77777777" w:rsidR="000072F4" w:rsidRDefault="00000000">
      <w:pPr>
        <w:spacing w:after="0"/>
      </w:pPr>
      <w:r>
        <w:br w:type="page"/>
      </w:r>
    </w:p>
    <w:p w14:paraId="28589117" w14:textId="77777777" w:rsidR="000072F4" w:rsidRDefault="00000000">
      <w:pPr>
        <w:pBdr>
          <w:bottom w:val="single" w:sz="16" w:space="1" w:color="155FBF"/>
        </w:pBdr>
        <w:spacing w:before="360" w:after="120"/>
      </w:pPr>
      <w:r>
        <w:rPr>
          <w:rFonts w:ascii="Arial" w:hAnsi="Arial"/>
          <w:b/>
          <w:color w:val="1B2A4A"/>
          <w:sz w:val="30"/>
        </w:rPr>
        <w:lastRenderedPageBreak/>
        <w:t>5. Microsserviços — Detalhamento Funcional</w:t>
      </w:r>
    </w:p>
    <w:p w14:paraId="68C2F0A7" w14:textId="77777777" w:rsidR="000072F4" w:rsidRDefault="00000000">
      <w:pPr>
        <w:shd w:val="clear" w:color="auto" w:fill="155FBF"/>
        <w:spacing w:before="200" w:after="0"/>
      </w:pPr>
      <w:r>
        <w:rPr>
          <w:rFonts w:ascii="Arial" w:hAnsi="Arial"/>
          <w:b/>
          <w:color w:val="FFFFFF"/>
        </w:rPr>
        <w:t xml:space="preserve">  ◆ auth-service</w:t>
      </w:r>
    </w:p>
    <w:p w14:paraId="19971395" w14:textId="77777777" w:rsidR="000072F4" w:rsidRDefault="00000000">
      <w:pPr>
        <w:shd w:val="clear" w:color="auto" w:fill="F4F6FA"/>
        <w:spacing w:before="40" w:after="40"/>
        <w:ind w:left="216"/>
      </w:pPr>
      <w:r>
        <w:rPr>
          <w:rFonts w:ascii="Arial" w:hAnsi="Arial"/>
          <w:color w:val="3C3C3C"/>
          <w:sz w:val="19"/>
        </w:rPr>
        <w:t>Centraliza autenticação e autorização. Integra com gov.br OIDC, emite JWT (RS256) com claims de perfil (contribuinte, gestor AGU, gestor PGM). Gerencia sessões e refresh tokens.</w:t>
      </w:r>
    </w:p>
    <w:p w14:paraId="53D6F798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FastAPI + python-jose</w:t>
      </w:r>
    </w:p>
    <w:p w14:paraId="78E57275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Keycloak como IdP</w:t>
      </w:r>
    </w:p>
    <w:p w14:paraId="1564F675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Redis para blacklist de tokens</w:t>
      </w:r>
    </w:p>
    <w:p w14:paraId="5D4F9508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Scope: read:fiscal, write:simulador</w:t>
      </w:r>
    </w:p>
    <w:p w14:paraId="51154C64" w14:textId="77777777" w:rsidR="000072F4" w:rsidRDefault="000072F4"/>
    <w:p w14:paraId="3920752A" w14:textId="77777777" w:rsidR="000072F4" w:rsidRDefault="00000000">
      <w:pPr>
        <w:shd w:val="clear" w:color="auto" w:fill="2E5FA3"/>
        <w:spacing w:before="200" w:after="0"/>
      </w:pPr>
      <w:r>
        <w:rPr>
          <w:rFonts w:ascii="Arial" w:hAnsi="Arial"/>
          <w:b/>
          <w:color w:val="FFFFFF"/>
        </w:rPr>
        <w:t xml:space="preserve">  ◆ extrato-service</w:t>
      </w:r>
    </w:p>
    <w:p w14:paraId="2D3BA81F" w14:textId="77777777" w:rsidR="000072F4" w:rsidRDefault="00000000">
      <w:pPr>
        <w:shd w:val="clear" w:color="auto" w:fill="F4F6FA"/>
        <w:spacing w:before="40" w:after="40"/>
        <w:ind w:left="216"/>
      </w:pPr>
      <w:r>
        <w:rPr>
          <w:rFonts w:ascii="Arial" w:hAnsi="Arial"/>
          <w:color w:val="3C3C3C"/>
          <w:sz w:val="19"/>
        </w:rPr>
        <w:t>Agrega extratos de débitos de múltiplas fontes (PGM, PGFN, RFB) em um único extrato consolidado por CPF/CNPJ. Normaliza dados heterogêneos em schema unificado (JSON-LD fiscal).</w:t>
      </w:r>
    </w:p>
    <w:p w14:paraId="64AD7B43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FastAPI + SQLAlchemy</w:t>
      </w:r>
    </w:p>
    <w:p w14:paraId="6E5E968C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Cache Redis 5min por contribuinte</w:t>
      </w:r>
    </w:p>
    <w:p w14:paraId="3DC27790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Adapter pattern para cada fonte</w:t>
      </w:r>
    </w:p>
    <w:p w14:paraId="6871AF25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Fallback: retorna último extrato cacheado se fonte offline</w:t>
      </w:r>
    </w:p>
    <w:p w14:paraId="6C59047E" w14:textId="77777777" w:rsidR="000072F4" w:rsidRDefault="000072F4"/>
    <w:p w14:paraId="2E0E3EC0" w14:textId="77777777" w:rsidR="000072F4" w:rsidRDefault="00000000">
      <w:pPr>
        <w:shd w:val="clear" w:color="auto" w:fill="3D6B9E"/>
        <w:spacing w:before="200" w:after="0"/>
      </w:pPr>
      <w:r>
        <w:rPr>
          <w:rFonts w:ascii="Arial" w:hAnsi="Arial"/>
          <w:b/>
          <w:color w:val="FFFFFF"/>
        </w:rPr>
        <w:t xml:space="preserve">  ◆ simulador-service</w:t>
      </w:r>
    </w:p>
    <w:p w14:paraId="738A11A8" w14:textId="77777777" w:rsidR="000072F4" w:rsidRDefault="00000000">
      <w:pPr>
        <w:shd w:val="clear" w:color="auto" w:fill="F4F6FA"/>
        <w:spacing w:before="40" w:after="40"/>
        <w:ind w:left="216"/>
      </w:pPr>
      <w:r>
        <w:rPr>
          <w:rFonts w:ascii="Arial" w:hAnsi="Arial"/>
          <w:color w:val="3C3C3C"/>
          <w:sz w:val="19"/>
        </w:rPr>
        <w:t>Motor de cálculo de parcelamentos, descontos por modalidade (PERT, RERCT, Transação Tributária) e simulação de redução de juros/multas. Exposição de cenários comparativos para o contribuinte.</w:t>
      </w:r>
    </w:p>
    <w:p w14:paraId="12D445EE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Python + NumPy/Pandas para cálculos financeiros</w:t>
      </w:r>
    </w:p>
    <w:p w14:paraId="748B8483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Regras parametrizáveis por ente (federal/municipal)</w:t>
      </w:r>
    </w:p>
    <w:p w14:paraId="2767999E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API síncrona REST + WebSocket para simulação em tempo real</w:t>
      </w:r>
    </w:p>
    <w:p w14:paraId="4C7CF7D2" w14:textId="77777777" w:rsidR="000072F4" w:rsidRDefault="000072F4"/>
    <w:p w14:paraId="713C20AF" w14:textId="77777777" w:rsidR="000072F4" w:rsidRDefault="00000000">
      <w:pPr>
        <w:shd w:val="clear" w:color="auto" w:fill="4A7BA8"/>
        <w:spacing w:before="200" w:after="0"/>
      </w:pPr>
      <w:r>
        <w:rPr>
          <w:rFonts w:ascii="Arial" w:hAnsi="Arial"/>
          <w:b/>
          <w:color w:val="FFFFFF"/>
        </w:rPr>
        <w:t xml:space="preserve">  ◆ risk-engine</w:t>
      </w:r>
    </w:p>
    <w:p w14:paraId="2ABEBAE8" w14:textId="77777777" w:rsidR="000072F4" w:rsidRDefault="00000000">
      <w:pPr>
        <w:shd w:val="clear" w:color="auto" w:fill="F4F6FA"/>
        <w:spacing w:before="40" w:after="40"/>
        <w:ind w:left="216"/>
      </w:pPr>
      <w:r>
        <w:rPr>
          <w:rFonts w:ascii="Arial" w:hAnsi="Arial"/>
          <w:color w:val="3C3C3C"/>
          <w:sz w:val="19"/>
        </w:rPr>
        <w:t>Motor analítico que classifica contribuintes por probabilidade de regularização espontânea. Permite que agentes fiscais priorizem notificações e negociações com maior chance de retorno.</w:t>
      </w:r>
    </w:p>
    <w:p w14:paraId="72152E52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Python + scikit-learn / XGBoost</w:t>
      </w:r>
    </w:p>
    <w:p w14:paraId="319EEA0A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Features: histórico de pagamentos, porte, setor, valor débito</w:t>
      </w:r>
    </w:p>
    <w:p w14:paraId="38854AD7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Score 0–100 atualizado via job semanal (Airflow)</w:t>
      </w:r>
    </w:p>
    <w:p w14:paraId="6C94DF56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Explicabilidade: SHAP values para auditoria</w:t>
      </w:r>
    </w:p>
    <w:p w14:paraId="2648E027" w14:textId="77777777" w:rsidR="000072F4" w:rsidRDefault="000072F4"/>
    <w:p w14:paraId="54CC0006" w14:textId="77777777" w:rsidR="000072F4" w:rsidRDefault="00000000">
      <w:pPr>
        <w:shd w:val="clear" w:color="auto" w:fill="1B2A4A"/>
        <w:spacing w:before="200" w:after="0"/>
      </w:pPr>
      <w:r>
        <w:rPr>
          <w:rFonts w:ascii="Arial" w:hAnsi="Arial"/>
          <w:b/>
          <w:color w:val="FFFFFF"/>
        </w:rPr>
        <w:t xml:space="preserve">  ◆ notificacao-service</w:t>
      </w:r>
    </w:p>
    <w:p w14:paraId="3129C770" w14:textId="77777777" w:rsidR="000072F4" w:rsidRDefault="00000000">
      <w:pPr>
        <w:shd w:val="clear" w:color="auto" w:fill="F4F6FA"/>
        <w:spacing w:before="40" w:after="40"/>
        <w:ind w:left="216"/>
      </w:pPr>
      <w:r>
        <w:rPr>
          <w:rFonts w:ascii="Arial" w:hAnsi="Arial"/>
          <w:color w:val="3C3C3C"/>
          <w:sz w:val="19"/>
        </w:rPr>
        <w:t>Orquestra o envio de mensagens multicanal (e-mail, SMS, push) personalizadas por perfil, débito e estágio do funil de regularização. Rastreia abertura, clique e conversão.</w:t>
      </w:r>
    </w:p>
    <w:p w14:paraId="2AD4E4B0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Celery + Redis (fila assíncrona)</w:t>
      </w:r>
    </w:p>
    <w:p w14:paraId="4455F4FA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Templates Jinja2 em linguagem cidadã</w:t>
      </w:r>
    </w:p>
    <w:p w14:paraId="30A3E7C6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Integração Gov.br Notificações (canal oficial) + SendGrid (fallback e-mail)</w:t>
      </w:r>
    </w:p>
    <w:p w14:paraId="1AFF5F50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Deduplicação: 1 notificação por canal/período/contribuinte</w:t>
      </w:r>
    </w:p>
    <w:p w14:paraId="51F8455F" w14:textId="77777777" w:rsidR="000072F4" w:rsidRDefault="000072F4"/>
    <w:p w14:paraId="3C8A2807" w14:textId="77777777" w:rsidR="000072F4" w:rsidRDefault="00000000">
      <w:pPr>
        <w:shd w:val="clear" w:color="auto" w:fill="1A7A3C"/>
        <w:spacing w:before="200" w:after="0"/>
      </w:pPr>
      <w:r>
        <w:rPr>
          <w:rFonts w:ascii="Arial" w:hAnsi="Arial"/>
          <w:b/>
          <w:color w:val="FFFFFF"/>
        </w:rPr>
        <w:t xml:space="preserve">  ◆ audit-service</w:t>
      </w:r>
    </w:p>
    <w:p w14:paraId="1B2E5835" w14:textId="77777777" w:rsidR="000072F4" w:rsidRDefault="00000000">
      <w:pPr>
        <w:shd w:val="clear" w:color="auto" w:fill="F4F6FA"/>
        <w:spacing w:before="40" w:after="40"/>
        <w:ind w:left="216"/>
      </w:pPr>
      <w:r>
        <w:rPr>
          <w:rFonts w:ascii="Arial" w:hAnsi="Arial"/>
          <w:color w:val="3C3C3C"/>
          <w:sz w:val="19"/>
        </w:rPr>
        <w:t>Registra imutavelmente cada ação do sistema (consulta, simulação, adesão, notificação) para fins de LGPD, prestação de contas e investigação forense. Dados nunca deletados.</w:t>
      </w:r>
    </w:p>
    <w:p w14:paraId="5BFA9D8D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Event Sourcing com Kafka → Delta Lake</w:t>
      </w:r>
    </w:p>
    <w:p w14:paraId="387B222F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lastRenderedPageBreak/>
        <w:t>• WORM storage (Write Once Read Many)</w:t>
      </w:r>
    </w:p>
    <w:p w14:paraId="66DB377E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Indexação no Elasticsearch para consulta</w:t>
      </w:r>
    </w:p>
    <w:p w14:paraId="02ECD57D" w14:textId="77777777" w:rsidR="000072F4" w:rsidRDefault="00000000">
      <w:pPr>
        <w:shd w:val="clear" w:color="auto" w:fill="F4F6FA"/>
        <w:spacing w:after="20"/>
        <w:ind w:left="432"/>
      </w:pPr>
      <w:r>
        <w:rPr>
          <w:rFonts w:ascii="Arial" w:hAnsi="Arial"/>
          <w:color w:val="3C3C3C"/>
          <w:sz w:val="18"/>
        </w:rPr>
        <w:t>• Retenção: 10 anos conforme legislação fiscal</w:t>
      </w:r>
    </w:p>
    <w:p w14:paraId="52C6C16D" w14:textId="77777777" w:rsidR="000072F4" w:rsidRDefault="000072F4"/>
    <w:p w14:paraId="2DF7421A" w14:textId="77777777" w:rsidR="000072F4" w:rsidRDefault="00000000">
      <w:pPr>
        <w:spacing w:after="0"/>
      </w:pPr>
      <w:r>
        <w:br w:type="page"/>
      </w:r>
    </w:p>
    <w:p w14:paraId="01AF9F37" w14:textId="77777777" w:rsidR="000072F4" w:rsidRDefault="00000000">
      <w:pPr>
        <w:pBdr>
          <w:bottom w:val="single" w:sz="16" w:space="1" w:color="155FBF"/>
        </w:pBdr>
        <w:spacing w:before="360" w:after="120"/>
      </w:pPr>
      <w:r>
        <w:rPr>
          <w:rFonts w:ascii="Arial" w:hAnsi="Arial"/>
          <w:b/>
          <w:color w:val="1B2A4A"/>
          <w:sz w:val="30"/>
        </w:rPr>
        <w:lastRenderedPageBreak/>
        <w:t>6. Segurança, LGPD e Conformidade</w:t>
      </w:r>
    </w:p>
    <w:p w14:paraId="497BA432" w14:textId="77777777" w:rsidR="000072F4" w:rsidRDefault="00000000">
      <w:pPr>
        <w:spacing w:before="240" w:after="80"/>
      </w:pPr>
      <w:r>
        <w:rPr>
          <w:rFonts w:ascii="Arial" w:hAnsi="Arial"/>
          <w:b/>
          <w:color w:val="155FBF"/>
          <w:sz w:val="24"/>
        </w:rPr>
        <w:t>6.1  Modelo de Ameaças (STRIDE)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072F4" w14:paraId="45282294" w14:textId="77777777">
        <w:trPr>
          <w:jc w:val="center"/>
        </w:trPr>
        <w:tc>
          <w:tcPr>
            <w:tcW w:w="3024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</w:tcPr>
          <w:p w14:paraId="2756FA3E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Ameaça (STRIDE)</w:t>
            </w:r>
          </w:p>
        </w:tc>
        <w:tc>
          <w:tcPr>
            <w:tcW w:w="3024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</w:tcPr>
          <w:p w14:paraId="4ECAF277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Risco</w:t>
            </w:r>
          </w:p>
        </w:tc>
        <w:tc>
          <w:tcPr>
            <w:tcW w:w="3024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</w:tcPr>
          <w:p w14:paraId="5AC4A62E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Controle</w:t>
            </w:r>
          </w:p>
        </w:tc>
      </w:tr>
      <w:tr w:rsidR="000072F4" w14:paraId="5FEA9F4B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2FC368E0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C0392B"/>
                <w:sz w:val="18"/>
              </w:rPr>
              <w:t>Spoofing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769B1C6F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Identidade falsa de contribuinte ou sistema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79EBDF8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gov.br OIDC + MFA obrigatório para gestores</w:t>
            </w:r>
          </w:p>
        </w:tc>
      </w:tr>
      <w:tr w:rsidR="000072F4" w14:paraId="218689AA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46EDF609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C0392B"/>
                <w:sz w:val="18"/>
              </w:rPr>
              <w:t>Tampering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32047F6D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Alteração de extratos ou simulações em trânsito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71994F5D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TLS 1.3 + assinatura digital das respostas (JWS)</w:t>
            </w:r>
          </w:p>
        </w:tc>
      </w:tr>
      <w:tr w:rsidR="000072F4" w14:paraId="03E31FBD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415C015F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C0392B"/>
                <w:sz w:val="18"/>
              </w:rPr>
              <w:t>Repudiation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1AD5F59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Negação de ações fiscais realizadas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732F97E5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Audit Service imutável + logs assinados</w:t>
            </w:r>
          </w:p>
        </w:tc>
      </w:tr>
      <w:tr w:rsidR="000072F4" w14:paraId="7BD1E0D6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3B453D26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C0392B"/>
                <w:sz w:val="18"/>
              </w:rPr>
              <w:t>Info Disclosure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6A47AA14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Vazamento de dados fiscais (LGPD Art.44)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5A54A1D9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Criptografia AES-256 em repouso + pseudonimização no analytics</w:t>
            </w:r>
          </w:p>
        </w:tc>
      </w:tr>
      <w:tr w:rsidR="000072F4" w14:paraId="492B5079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DAB7E3C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C0392B"/>
                <w:sz w:val="18"/>
              </w:rPr>
              <w:t>DoS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77168D73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Sobrecarga nos picos de campanha fiscal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73D63D2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Auto-scaling K8s + WAF rate-limiting + CDN</w:t>
            </w:r>
          </w:p>
        </w:tc>
      </w:tr>
      <w:tr w:rsidR="000072F4" w14:paraId="1D49BBCE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1DBAFBFD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C0392B"/>
                <w:sz w:val="18"/>
              </w:rPr>
              <w:t>Elevation of Privilege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2961DE12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Acesso indevido entre entes (PGM vs. PGFN)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2A91251E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RBAC granular + tenant isolation no BD</w:t>
            </w:r>
          </w:p>
        </w:tc>
      </w:tr>
    </w:tbl>
    <w:p w14:paraId="30B68163" w14:textId="77777777" w:rsidR="000072F4" w:rsidRDefault="000072F4"/>
    <w:p w14:paraId="648E8B9A" w14:textId="77777777" w:rsidR="000072F4" w:rsidRDefault="00000000">
      <w:pPr>
        <w:spacing w:before="240" w:after="80"/>
      </w:pPr>
      <w:r>
        <w:rPr>
          <w:rFonts w:ascii="Arial" w:hAnsi="Arial"/>
          <w:b/>
          <w:color w:val="155FBF"/>
          <w:sz w:val="24"/>
        </w:rPr>
        <w:t>6.2  LGPD — Medidas Técnicas</w:t>
      </w:r>
    </w:p>
    <w:p w14:paraId="4B8E8E94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Base legal: Art. 7°, II (execução de contrato/obrigação legal) — o tratamento de dados fiscais dispensa consentimento adicional.</w:t>
      </w:r>
    </w:p>
    <w:p w14:paraId="3700925E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Minimização de dados: analytics usa CPF/CNPJ truncado (primeiros 6 dígitos + hash SHA-256).</w:t>
      </w:r>
    </w:p>
    <w:p w14:paraId="2BFBE862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Direitos do titular: endpoint /minha-privacidade expõe dados coletados, permite portabilidade (JSON) e solicitação de anonimização.</w:t>
      </w:r>
    </w:p>
    <w:p w14:paraId="7A0EAEF8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DPIA (Data Protection Impact Assessment) obrigatório antes do go-live em produção.</w:t>
      </w:r>
    </w:p>
    <w:p w14:paraId="205B6937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DPO designado: indicação formal conforme Art. 41 LGPD — papel recomendado ao SERPRO ou equipe AGU/CCTIR.</w:t>
      </w:r>
    </w:p>
    <w:p w14:paraId="6DE025E4" w14:textId="77777777" w:rsidR="000072F4" w:rsidRDefault="00000000">
      <w:pPr>
        <w:spacing w:before="240" w:after="80"/>
      </w:pPr>
      <w:r>
        <w:rPr>
          <w:rFonts w:ascii="Arial" w:hAnsi="Arial"/>
          <w:b/>
          <w:color w:val="155FBF"/>
          <w:sz w:val="24"/>
        </w:rPr>
        <w:t>6.3  Certificação e Normas</w:t>
      </w:r>
    </w:p>
    <w:p w14:paraId="4B1A7D89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ISO 27001 — escopo de segurança da informação para o sistema durante a fase produtiva.</w:t>
      </w:r>
    </w:p>
    <w:p w14:paraId="524EC537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NIST SP 800-53 Rev 5 — controles de segurança alinhados à Política de Segurança da Informação (PSI) do Governo Federal.</w:t>
      </w:r>
    </w:p>
    <w:p w14:paraId="32F09DA8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IN SGD/MGI nº 1/2019 — uso de serviços de nuvem pública para dados governamentais.</w:t>
      </w:r>
    </w:p>
    <w:p w14:paraId="53DD053B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Portaria PGFN nº 33/2018 e IN RFB nº 1.750 — regras para acesso e compartilhamento de dados fiscais.</w:t>
      </w:r>
    </w:p>
    <w:p w14:paraId="611E820C" w14:textId="77777777" w:rsidR="000072F4" w:rsidRDefault="00000000">
      <w:pPr>
        <w:spacing w:after="0"/>
      </w:pPr>
      <w:r>
        <w:br w:type="page"/>
      </w:r>
    </w:p>
    <w:p w14:paraId="6A6FE97D" w14:textId="77777777" w:rsidR="000072F4" w:rsidRDefault="00000000">
      <w:pPr>
        <w:pBdr>
          <w:bottom w:val="single" w:sz="16" w:space="1" w:color="155FBF"/>
        </w:pBdr>
        <w:spacing w:before="360" w:after="120"/>
      </w:pPr>
      <w:r>
        <w:rPr>
          <w:rFonts w:ascii="Arial" w:hAnsi="Arial"/>
          <w:b/>
          <w:color w:val="1B2A4A"/>
          <w:sz w:val="30"/>
        </w:rPr>
        <w:lastRenderedPageBreak/>
        <w:t>7. Escalabilidade, Resiliência e Observabilidade</w:t>
      </w:r>
    </w:p>
    <w:p w14:paraId="625D4629" w14:textId="77777777" w:rsidR="000072F4" w:rsidRDefault="00000000">
      <w:pPr>
        <w:spacing w:before="240" w:after="80"/>
      </w:pPr>
      <w:r>
        <w:rPr>
          <w:rFonts w:ascii="Arial" w:hAnsi="Arial"/>
          <w:b/>
          <w:color w:val="155FBF"/>
          <w:sz w:val="24"/>
        </w:rPr>
        <w:t>7.1  Estratégia de Escalabilidade</w:t>
      </w:r>
    </w:p>
    <w:p w14:paraId="2F59865C" w14:textId="77777777" w:rsidR="000072F4" w:rsidRDefault="00000000">
      <w:pPr>
        <w:spacing w:before="40" w:after="80"/>
      </w:pPr>
      <w:r>
        <w:rPr>
          <w:rFonts w:ascii="Arial" w:hAnsi="Arial"/>
          <w:color w:val="3C3C3C"/>
          <w:sz w:val="20"/>
        </w:rPr>
        <w:t>A plataforma deve suportar picos de acesso (ex.: campanhas de regularização fiscal, vencimento de prazos de parcelamento) sem degradação. Adotamos escala horizontal stateless com as seguintes táticas:</w:t>
      </w:r>
    </w:p>
    <w:p w14:paraId="18844DBE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HPA (Horizontal Pod Autoscaler) no Kubernetes: escala pods de extrato-service e simulador-service com base em CPU/latência P95.</w:t>
      </w:r>
    </w:p>
    <w:p w14:paraId="26A72F18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Cache de extratos: Redis com TTL de 5 minutos por CPF/CNPJ — evita N requisições simultâneas ao sistema legado CELEPAR.</w:t>
      </w:r>
    </w:p>
    <w:p w14:paraId="76C6609D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Read replicas PostgreSQL: separação de workloads OLTP (escrita) e relatórios/analytics (leitura).</w:t>
      </w:r>
    </w:p>
    <w:p w14:paraId="33757061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CDN (CloudFront / Cloudflare) para assets estáticos do frontend — reduz latência para usuários fora dos datacenters AWS.</w:t>
      </w:r>
    </w:p>
    <w:p w14:paraId="3B651121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Processamento assíncrono: notificações e geração de relatórios via filas Kafka — desacoplamento total do request-response.</w:t>
      </w:r>
    </w:p>
    <w:p w14:paraId="2F4EFB4D" w14:textId="77777777" w:rsidR="000072F4" w:rsidRDefault="00000000">
      <w:pPr>
        <w:spacing w:before="240" w:after="80"/>
      </w:pPr>
      <w:r>
        <w:rPr>
          <w:rFonts w:ascii="Arial" w:hAnsi="Arial"/>
          <w:b/>
          <w:color w:val="155FBF"/>
          <w:sz w:val="24"/>
        </w:rPr>
        <w:t>7.2  Resiliência e Continuidade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072F4" w14:paraId="452682F4" w14:textId="77777777">
        <w:trPr>
          <w:jc w:val="center"/>
        </w:trPr>
        <w:tc>
          <w:tcPr>
            <w:tcW w:w="3024" w:type="dxa"/>
            <w:tcBorders>
              <w:top w:val="single" w:sz="4" w:space="0" w:color="E56328"/>
              <w:left w:val="single" w:sz="4" w:space="0" w:color="E56328"/>
              <w:bottom w:val="single" w:sz="4" w:space="0" w:color="E56328"/>
              <w:right w:val="single" w:sz="4" w:space="0" w:color="E56328"/>
            </w:tcBorders>
            <w:shd w:val="clear" w:color="auto" w:fill="E56328"/>
          </w:tcPr>
          <w:p w14:paraId="040B8A6C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Padrão</w:t>
            </w:r>
          </w:p>
        </w:tc>
        <w:tc>
          <w:tcPr>
            <w:tcW w:w="3024" w:type="dxa"/>
            <w:tcBorders>
              <w:top w:val="single" w:sz="4" w:space="0" w:color="E56328"/>
              <w:left w:val="single" w:sz="4" w:space="0" w:color="E56328"/>
              <w:bottom w:val="single" w:sz="4" w:space="0" w:color="E56328"/>
              <w:right w:val="single" w:sz="4" w:space="0" w:color="E56328"/>
            </w:tcBorders>
            <w:shd w:val="clear" w:color="auto" w:fill="E56328"/>
          </w:tcPr>
          <w:p w14:paraId="49CA15B8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Implementação</w:t>
            </w:r>
          </w:p>
        </w:tc>
        <w:tc>
          <w:tcPr>
            <w:tcW w:w="3024" w:type="dxa"/>
            <w:tcBorders>
              <w:top w:val="single" w:sz="4" w:space="0" w:color="E56328"/>
              <w:left w:val="single" w:sz="4" w:space="0" w:color="E56328"/>
              <w:bottom w:val="single" w:sz="4" w:space="0" w:color="E56328"/>
              <w:right w:val="single" w:sz="4" w:space="0" w:color="E56328"/>
            </w:tcBorders>
            <w:shd w:val="clear" w:color="auto" w:fill="E56328"/>
          </w:tcPr>
          <w:p w14:paraId="68B00E6E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</w:tr>
      <w:tr w:rsidR="000072F4" w14:paraId="2255C115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717AA12E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Circuit Breaker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8865A0D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Resilience4j (Java) / Tenacity (Python)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25394D43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Isola falha de sistema legado sem propagar ao usuário</w:t>
            </w:r>
          </w:p>
        </w:tc>
      </w:tr>
      <w:tr w:rsidR="000072F4" w14:paraId="0B8FE7E2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4EDD0FE1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Fallback de Extrato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11B70EFF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Retorna último extrato cacheado + aviso de atualização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36C70176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Experiência degradada &gt; experiência quebrada</w:t>
            </w:r>
          </w:p>
        </w:tc>
      </w:tr>
      <w:tr w:rsidR="000072F4" w14:paraId="3F93102B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2ABF7EAD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Multi-AZ Deploy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F6B87D2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Kubernetes multi-zona AWS (sa-east-1a/b/c)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2B463604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RTO &lt; 5 min, RPO &lt; 1 min</w:t>
            </w:r>
          </w:p>
        </w:tc>
      </w:tr>
      <w:tr w:rsidR="000072F4" w14:paraId="26CDFB65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07E01DDD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Backup de BD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3BE64B67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Snapshot diário + WAL streaming (Point-in-Time Recovery)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0CE77707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Recuperação até qualquer ponto em 30 dias</w:t>
            </w:r>
          </w:p>
        </w:tc>
      </w:tr>
    </w:tbl>
    <w:p w14:paraId="47321FD7" w14:textId="77777777" w:rsidR="000072F4" w:rsidRDefault="000072F4"/>
    <w:p w14:paraId="68FC6640" w14:textId="77777777" w:rsidR="000072F4" w:rsidRDefault="00000000">
      <w:pPr>
        <w:spacing w:before="240" w:after="80"/>
      </w:pPr>
      <w:r>
        <w:rPr>
          <w:rFonts w:ascii="Arial" w:hAnsi="Arial"/>
          <w:b/>
          <w:color w:val="155FBF"/>
          <w:sz w:val="24"/>
        </w:rPr>
        <w:t>7.3  Observabilidade (3 Pilares)</w:t>
      </w:r>
    </w:p>
    <w:p w14:paraId="35EB9BB6" w14:textId="77777777" w:rsidR="000072F4" w:rsidRDefault="00000000">
      <w:pPr>
        <w:spacing w:before="40" w:after="80"/>
      </w:pPr>
      <w:r>
        <w:rPr>
          <w:rFonts w:ascii="Arial" w:hAnsi="Arial"/>
          <w:color w:val="3C3C3C"/>
          <w:sz w:val="20"/>
        </w:rPr>
        <w:t>Adotamos a especificação OpenTelemetry para instrumentação padronizada dos três pilares:</w:t>
      </w:r>
    </w:p>
    <w:p w14:paraId="2AC175A0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Métricas: Prometheus + Grafana — SLOs definidos: disponibilidade &gt;= 99,5%, latência P95 extrato &lt; 800ms, P95 simulador &lt; 2s.</w:t>
      </w:r>
    </w:p>
    <w:p w14:paraId="5ACA532A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Logs: Loki (structured logging JSON) — correlation_id em todos os requests para rastreio fim-a-fim.</w:t>
      </w:r>
    </w:p>
    <w:p w14:paraId="1EE55C82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Traces distribuídos: Tempo (Jaeger-compatible) — visibilidade de cada chamada entre microsserviços e sistemas externos.</w:t>
      </w:r>
    </w:p>
    <w:p w14:paraId="601AB06E" w14:textId="77777777" w:rsidR="000072F4" w:rsidRDefault="00000000">
      <w:pPr>
        <w:pStyle w:val="Commarcadores"/>
        <w:spacing w:before="20" w:after="40"/>
      </w:pPr>
      <w:r>
        <w:rPr>
          <w:rFonts w:ascii="Arial" w:hAnsi="Arial"/>
          <w:color w:val="3C3C3C"/>
          <w:sz w:val="20"/>
        </w:rPr>
        <w:t>Alertas: PagerDuty / OpsGenie integrado ao Grafana AlertManager — plantão 24/7 para incidentes P0/P1.</w:t>
      </w:r>
    </w:p>
    <w:p w14:paraId="7AEF578E" w14:textId="77777777" w:rsidR="000072F4" w:rsidRDefault="00000000">
      <w:pPr>
        <w:spacing w:after="0"/>
      </w:pPr>
      <w:r>
        <w:br w:type="page"/>
      </w:r>
    </w:p>
    <w:p w14:paraId="4AFEDC7E" w14:textId="77777777" w:rsidR="000072F4" w:rsidRDefault="00000000">
      <w:pPr>
        <w:pBdr>
          <w:bottom w:val="single" w:sz="16" w:space="1" w:color="155FBF"/>
        </w:pBdr>
        <w:spacing w:before="360" w:after="120"/>
      </w:pPr>
      <w:r>
        <w:rPr>
          <w:rFonts w:ascii="Arial" w:hAnsi="Arial"/>
          <w:b/>
          <w:color w:val="1B2A4A"/>
          <w:sz w:val="30"/>
        </w:rPr>
        <w:lastRenderedPageBreak/>
        <w:t>8. Roadmap de Implantação</w:t>
      </w:r>
    </w:p>
    <w:p w14:paraId="2E5DBBFF" w14:textId="77777777" w:rsidR="000072F4" w:rsidRDefault="00000000">
      <w:pPr>
        <w:shd w:val="clear" w:color="auto" w:fill="1A7A3C"/>
        <w:spacing w:before="160" w:after="0"/>
      </w:pPr>
      <w:r>
        <w:rPr>
          <w:rFonts w:ascii="Arial" w:hAnsi="Arial"/>
          <w:b/>
          <w:color w:val="FFFFFF"/>
          <w:sz w:val="21"/>
        </w:rPr>
        <w:t xml:space="preserve">  Fase 0 — Preparação (Mês 1)</w:t>
      </w:r>
    </w:p>
    <w:p w14:paraId="5D01E087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Assinatura do Termo de Cooperação Técnica: AGU/PGFN + PGM Curitiba + SERPRO/CELEPAR</w:t>
      </w:r>
    </w:p>
    <w:p w14:paraId="2C0F9268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Definição de equipe técnica: 2 Backend Devs, 1 Frontend Dev, 1 DevOps, 1 Analista de Dados, 1 Segurança</w:t>
      </w:r>
    </w:p>
    <w:p w14:paraId="6C7060D1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Setup da infraestrutura base: K8s cluster, CI/CD pipelines, ambiente de homologação</w:t>
      </w:r>
    </w:p>
    <w:p w14:paraId="2E3F253E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Mapeamento e assinatura dos acordos de nível de serviço (ANS) com cada sistema legado</w:t>
      </w:r>
    </w:p>
    <w:p w14:paraId="478483FB" w14:textId="77777777" w:rsidR="000072F4" w:rsidRDefault="000072F4"/>
    <w:p w14:paraId="41C80076" w14:textId="77777777" w:rsidR="000072F4" w:rsidRDefault="00000000">
      <w:pPr>
        <w:shd w:val="clear" w:color="auto" w:fill="155FBF"/>
        <w:spacing w:before="160" w:after="0"/>
      </w:pPr>
      <w:r>
        <w:rPr>
          <w:rFonts w:ascii="Arial" w:hAnsi="Arial"/>
          <w:b/>
          <w:color w:val="FFFFFF"/>
          <w:sz w:val="21"/>
        </w:rPr>
        <w:t xml:space="preserve">  Fase 1 — POC (Meses 2–4)</w:t>
      </w:r>
    </w:p>
    <w:p w14:paraId="30C68543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Integração com PGM Curitiba (CELEPAR): extrato consolidado municipal</w:t>
      </w:r>
    </w:p>
    <w:p w14:paraId="4AF31F60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Autenticação gov.br: login único e perfil do contribuinte</w:t>
      </w:r>
    </w:p>
    <w:p w14:paraId="6C077D04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Versão beta do simulador de parcelamentos (regras municipais Curitiba)</w:t>
      </w:r>
    </w:p>
    <w:p w14:paraId="7653E5CE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Motor de risco v1: modelo simples baseado em regras + score de probabilidade</w:t>
      </w:r>
    </w:p>
    <w:p w14:paraId="0BA40A7F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Piloto controlado: 5.000 PF + 2.000 PJ — campanha de notificações</w:t>
      </w:r>
    </w:p>
    <w:p w14:paraId="2F336AF3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Coleta de métricas: taxa de adesão, NPS, tempo médio de regularização</w:t>
      </w:r>
    </w:p>
    <w:p w14:paraId="629ACAAF" w14:textId="77777777" w:rsidR="000072F4" w:rsidRDefault="000072F4"/>
    <w:p w14:paraId="675E96AE" w14:textId="77777777" w:rsidR="000072F4" w:rsidRDefault="00000000">
      <w:pPr>
        <w:shd w:val="clear" w:color="auto" w:fill="2E5FA3"/>
        <w:spacing w:before="160" w:after="0"/>
      </w:pPr>
      <w:r>
        <w:rPr>
          <w:rFonts w:ascii="Arial" w:hAnsi="Arial"/>
          <w:b/>
          <w:color w:val="FFFFFF"/>
          <w:sz w:val="21"/>
        </w:rPr>
        <w:t xml:space="preserve">  Fase 2 — Expansão Federal (Meses 5–8)</w:t>
      </w:r>
    </w:p>
    <w:p w14:paraId="32C77BC3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Integração PGFN/SAJ: débitos federais inscritos em dívida ativa</w:t>
      </w:r>
    </w:p>
    <w:p w14:paraId="29E3A68E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Transação Tributária PGFN: adesão digital ao PERT/RERCT</w:t>
      </w:r>
    </w:p>
    <w:p w14:paraId="1D7970B4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Integração RFB: CND, situação fiscal, parcelamentos RFB</w:t>
      </w:r>
    </w:p>
    <w:p w14:paraId="56E55812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Motor de risco v2: modelo ML (XGBoost) com dados históricos enriquecidos</w:t>
      </w:r>
    </w:p>
    <w:p w14:paraId="37708A99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Dashboard AGU/PGM: painel de gestão com KPIs e priorização de casos</w:t>
      </w:r>
    </w:p>
    <w:p w14:paraId="7381E42C" w14:textId="77777777" w:rsidR="000072F4" w:rsidRDefault="000072F4"/>
    <w:p w14:paraId="591B6EF5" w14:textId="77777777" w:rsidR="000072F4" w:rsidRDefault="00000000">
      <w:pPr>
        <w:shd w:val="clear" w:color="auto" w:fill="1B2A4A"/>
        <w:spacing w:before="160" w:after="0"/>
      </w:pPr>
      <w:r>
        <w:rPr>
          <w:rFonts w:ascii="Arial" w:hAnsi="Arial"/>
          <w:b/>
          <w:color w:val="FFFFFF"/>
          <w:sz w:val="21"/>
        </w:rPr>
        <w:t xml:space="preserve">  Fase 3 — Escala Nacional (Meses 9–12+)</w:t>
      </w:r>
    </w:p>
    <w:p w14:paraId="0C7C9A54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Multi-tenancy: framework de onboarding de novos municípios/estados em &lt; 2 semanas</w:t>
      </w:r>
    </w:p>
    <w:p w14:paraId="23393C85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Integração estadual: SEFAZ de pelo menos 2 estados piloto</w:t>
      </w:r>
    </w:p>
    <w:p w14:paraId="65D3700A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App Mobile nativo (iOS + Android) — Capacitor.js</w:t>
      </w:r>
    </w:p>
    <w:p w14:paraId="7B7E1289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IA Generativa: assistente conversacional para dúvidas fiscais (LLM fine-tuned)</w:t>
      </w:r>
    </w:p>
    <w:p w14:paraId="2E9A08FB" w14:textId="77777777" w:rsidR="000072F4" w:rsidRDefault="00000000">
      <w:pPr>
        <w:shd w:val="clear" w:color="auto" w:fill="F4F6FA"/>
        <w:spacing w:before="20" w:after="20"/>
        <w:ind w:left="432"/>
      </w:pPr>
      <w:r>
        <w:rPr>
          <w:rFonts w:ascii="Arial" w:hAnsi="Arial"/>
          <w:color w:val="3C3C3C"/>
          <w:sz w:val="19"/>
        </w:rPr>
        <w:t>✓  Open Data: APIs públicas de dados agregados (sem PII) para pesquisa e controle social</w:t>
      </w:r>
    </w:p>
    <w:p w14:paraId="66575EB9" w14:textId="77777777" w:rsidR="000072F4" w:rsidRDefault="000072F4"/>
    <w:p w14:paraId="40D9BB5E" w14:textId="77777777" w:rsidR="000072F4" w:rsidRDefault="00000000">
      <w:pPr>
        <w:spacing w:after="0"/>
      </w:pPr>
      <w:r>
        <w:br w:type="page"/>
      </w:r>
    </w:p>
    <w:p w14:paraId="7BF5EF05" w14:textId="77777777" w:rsidR="000072F4" w:rsidRDefault="00000000">
      <w:pPr>
        <w:pBdr>
          <w:bottom w:val="single" w:sz="16" w:space="1" w:color="155FBF"/>
        </w:pBdr>
        <w:spacing w:before="360" w:after="120"/>
      </w:pPr>
      <w:r>
        <w:rPr>
          <w:rFonts w:ascii="Arial" w:hAnsi="Arial"/>
          <w:b/>
          <w:color w:val="1B2A4A"/>
          <w:sz w:val="30"/>
        </w:rPr>
        <w:lastRenderedPageBreak/>
        <w:t>9. Riscos, Dependências e Mitigações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072F4" w14:paraId="615B2F36" w14:textId="77777777">
        <w:trPr>
          <w:jc w:val="center"/>
        </w:trPr>
        <w:tc>
          <w:tcPr>
            <w:tcW w:w="3024" w:type="dxa"/>
            <w:tcBorders>
              <w:top w:val="single" w:sz="4" w:space="0" w:color="E56328"/>
              <w:left w:val="single" w:sz="4" w:space="0" w:color="E56328"/>
              <w:bottom w:val="single" w:sz="4" w:space="0" w:color="E56328"/>
              <w:right w:val="single" w:sz="4" w:space="0" w:color="E56328"/>
            </w:tcBorders>
            <w:shd w:val="clear" w:color="auto" w:fill="E56328"/>
          </w:tcPr>
          <w:p w14:paraId="24DF85E9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Probabilidade</w:t>
            </w:r>
          </w:p>
        </w:tc>
        <w:tc>
          <w:tcPr>
            <w:tcW w:w="3024" w:type="dxa"/>
            <w:tcBorders>
              <w:top w:val="single" w:sz="4" w:space="0" w:color="E56328"/>
              <w:left w:val="single" w:sz="4" w:space="0" w:color="E56328"/>
              <w:bottom w:val="single" w:sz="4" w:space="0" w:color="E56328"/>
              <w:right w:val="single" w:sz="4" w:space="0" w:color="E56328"/>
            </w:tcBorders>
            <w:shd w:val="clear" w:color="auto" w:fill="E56328"/>
          </w:tcPr>
          <w:p w14:paraId="2E20EF1F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Risco</w:t>
            </w:r>
          </w:p>
        </w:tc>
        <w:tc>
          <w:tcPr>
            <w:tcW w:w="3024" w:type="dxa"/>
            <w:tcBorders>
              <w:top w:val="single" w:sz="4" w:space="0" w:color="E56328"/>
              <w:left w:val="single" w:sz="4" w:space="0" w:color="E56328"/>
              <w:bottom w:val="single" w:sz="4" w:space="0" w:color="E56328"/>
              <w:right w:val="single" w:sz="4" w:space="0" w:color="E56328"/>
            </w:tcBorders>
            <w:shd w:val="clear" w:color="auto" w:fill="E56328"/>
          </w:tcPr>
          <w:p w14:paraId="408249EF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Mitigação</w:t>
            </w:r>
          </w:p>
        </w:tc>
      </w:tr>
      <w:tr w:rsidR="000072F4" w14:paraId="5E6EA946" w14:textId="77777777">
        <w:trPr>
          <w:trHeight w:val="48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22F1F36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C0392B"/>
                <w:sz w:val="18"/>
              </w:rPr>
              <w:t>Alta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64CD0001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Atraso no acesso às APIs CELEPAR/PGFN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278618B5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Iniciar POC com dados sintéticos + CSV manual; negociar SLA de API no Termo de Cooperação.</w:t>
            </w:r>
          </w:p>
        </w:tc>
      </w:tr>
      <w:tr w:rsidR="000072F4" w14:paraId="216A11D6" w14:textId="77777777">
        <w:trPr>
          <w:trHeight w:val="48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5660D43F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C0392B"/>
                <w:sz w:val="18"/>
              </w:rPr>
              <w:t>Alta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5BBB4B5A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Restrições legais ao compartilhamento de dados fiscais entre entes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3B46AD10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Consultar PGF + CGU antes do go-live; adotar LGPD by design; envolver ANPD antecipadamente.</w:t>
            </w:r>
          </w:p>
        </w:tc>
      </w:tr>
      <w:tr w:rsidR="000072F4" w14:paraId="4D111175" w14:textId="77777777">
        <w:trPr>
          <w:trHeight w:val="48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7D3AFC1B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D4A017"/>
                <w:sz w:val="18"/>
              </w:rPr>
              <w:t>Média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5AE68EF1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Baixa adesão dos contribuintes no piloto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5A06AC69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UX research antes do lançamento; linguagem cidadã; canal de suporte gov.br; campanha comunicação AGU.</w:t>
            </w:r>
          </w:p>
        </w:tc>
      </w:tr>
      <w:tr w:rsidR="000072F4" w14:paraId="189A7DDA" w14:textId="77777777">
        <w:trPr>
          <w:trHeight w:val="48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22D7A320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D4A017"/>
                <w:sz w:val="18"/>
              </w:rPr>
              <w:t>Média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4599D280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Indisponibilidade de sistemas legados durante piloto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392D441A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Circuit breaker + fallback cache; acordos de janela de manutenção com CELEPAR/SERPRO.</w:t>
            </w:r>
          </w:p>
        </w:tc>
      </w:tr>
      <w:tr w:rsidR="000072F4" w14:paraId="67056B52" w14:textId="77777777">
        <w:trPr>
          <w:trHeight w:val="48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79DAD6F4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D4A017"/>
                <w:sz w:val="18"/>
              </w:rPr>
              <w:t>Média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5B7548C6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Resistência institucional de entes subnacionais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D75B09E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Gestão de mudança: apresentação de ROI (redução custo cobrança) e modelo de governança compartilhada.</w:t>
            </w:r>
          </w:p>
        </w:tc>
      </w:tr>
      <w:tr w:rsidR="000072F4" w14:paraId="0EFE6EE8" w14:textId="77777777">
        <w:trPr>
          <w:trHeight w:val="48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55F32565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A7A3C"/>
                <w:sz w:val="18"/>
              </w:rPr>
              <w:t>Baixa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6BEE7027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Custo de infraestrutura cloud acima do previsto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3551678D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Reserved Instances + Spot para processamento batch; revisão mensal de custos com FinOps.</w:t>
            </w:r>
          </w:p>
        </w:tc>
      </w:tr>
      <w:tr w:rsidR="000072F4" w14:paraId="1139574E" w14:textId="77777777">
        <w:trPr>
          <w:trHeight w:val="48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51F17639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A7A3C"/>
                <w:sz w:val="18"/>
              </w:rPr>
              <w:t>Baixa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7514E89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Fraude / manipulação de simulações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453EB1D7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Todas as simulações são read-only; adesão real ocorre nos sistemas oficiais PGFN/PGM; audit trail completo.</w:t>
            </w:r>
          </w:p>
        </w:tc>
      </w:tr>
    </w:tbl>
    <w:p w14:paraId="5FD708C7" w14:textId="77777777" w:rsidR="000072F4" w:rsidRDefault="000072F4"/>
    <w:p w14:paraId="57789208" w14:textId="77777777" w:rsidR="000072F4" w:rsidRDefault="00000000">
      <w:pPr>
        <w:spacing w:after="0"/>
      </w:pPr>
      <w:r>
        <w:br w:type="page"/>
      </w:r>
    </w:p>
    <w:p w14:paraId="478731A5" w14:textId="77777777" w:rsidR="000072F4" w:rsidRDefault="00000000">
      <w:pPr>
        <w:pBdr>
          <w:bottom w:val="single" w:sz="16" w:space="1" w:color="155FBF"/>
        </w:pBdr>
        <w:spacing w:before="360" w:after="120"/>
      </w:pPr>
      <w:r>
        <w:rPr>
          <w:rFonts w:ascii="Arial" w:hAnsi="Arial"/>
          <w:b/>
          <w:color w:val="1B2A4A"/>
          <w:sz w:val="30"/>
        </w:rPr>
        <w:lastRenderedPageBreak/>
        <w:t>10. Métricas de Sucesso da POC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072F4" w14:paraId="4AB2BF1A" w14:textId="77777777">
        <w:trPr>
          <w:jc w:val="center"/>
        </w:trPr>
        <w:tc>
          <w:tcPr>
            <w:tcW w:w="3024" w:type="dxa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  <w:shd w:val="clear" w:color="auto" w:fill="1A7A3C"/>
          </w:tcPr>
          <w:p w14:paraId="288860A2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Métrica</w:t>
            </w:r>
          </w:p>
        </w:tc>
        <w:tc>
          <w:tcPr>
            <w:tcW w:w="3024" w:type="dxa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  <w:shd w:val="clear" w:color="auto" w:fill="1A7A3C"/>
          </w:tcPr>
          <w:p w14:paraId="12EFEA97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Definição</w:t>
            </w:r>
          </w:p>
        </w:tc>
        <w:tc>
          <w:tcPr>
            <w:tcW w:w="3024" w:type="dxa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  <w:shd w:val="clear" w:color="auto" w:fill="1A7A3C"/>
          </w:tcPr>
          <w:p w14:paraId="19075E20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FFFFFF"/>
                <w:sz w:val="18"/>
              </w:rPr>
              <w:t>Meta POC</w:t>
            </w:r>
          </w:p>
        </w:tc>
      </w:tr>
      <w:tr w:rsidR="000072F4" w14:paraId="18DE7BF8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465A1B3E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A7A3C"/>
                <w:sz w:val="18"/>
              </w:rPr>
              <w:t>Taxa de Adesão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9D3E85A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% contribuintes que aderiram via plataforma vs. canal tradicional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21857B78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&gt; 15% no piloto de 7.000 contribuintes</w:t>
            </w:r>
          </w:p>
        </w:tc>
      </w:tr>
      <w:tr w:rsidR="000072F4" w14:paraId="35A805B3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2A46969D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A7A3C"/>
                <w:sz w:val="18"/>
              </w:rPr>
              <w:t>Custo por Regularização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710CBD61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Custo médio digital vs. cobrança judicial/protesto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10CA22DC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&lt; 30% do custo do canal tradicional</w:t>
            </w:r>
          </w:p>
        </w:tc>
      </w:tr>
      <w:tr w:rsidR="000072F4" w14:paraId="12F01E73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9EF6B36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A7A3C"/>
                <w:sz w:val="18"/>
              </w:rPr>
              <w:t>Tempo de Regularização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40F0BF86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Do 1º contato digital à adesão efetivada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6EF04767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&lt; 7 dias úteis (vs. 60+ dias no processo manual)</w:t>
            </w:r>
          </w:p>
        </w:tc>
      </w:tr>
      <w:tr w:rsidR="000072F4" w14:paraId="107A210C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20CCE823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A7A3C"/>
                <w:sz w:val="18"/>
              </w:rPr>
              <w:t>NPS do Contribuinte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6FF24FB1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Pesquisa pós-uso da plataforma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3DE8365B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NPS &gt; 40 (zona de qualidade)</w:t>
            </w:r>
          </w:p>
        </w:tc>
      </w:tr>
      <w:tr w:rsidR="000072F4" w14:paraId="341BCABB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3852709F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A7A3C"/>
                <w:sz w:val="18"/>
              </w:rPr>
              <w:t>Disponibilidade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4DB7647E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Uptime do sistema durante o piloto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0F9722B9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&gt;= 99,5% (excluindo manutenções programadas)</w:t>
            </w:r>
          </w:p>
        </w:tc>
      </w:tr>
      <w:tr w:rsidR="000072F4" w14:paraId="533F5A7E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293D3244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A7A3C"/>
                <w:sz w:val="18"/>
              </w:rPr>
              <w:t>Escalabilidade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2BBE1560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Facilidade de replicação para outro município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4F6FA"/>
          </w:tcPr>
          <w:p w14:paraId="3646BFF8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Onboarding de novo ente em &lt; 2 semanas</w:t>
            </w:r>
          </w:p>
        </w:tc>
      </w:tr>
      <w:tr w:rsidR="000072F4" w14:paraId="0A95D992" w14:textId="77777777">
        <w:trPr>
          <w:trHeight w:val="420"/>
          <w:jc w:val="center"/>
        </w:trPr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407F85F7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A7A3C"/>
                <w:sz w:val="18"/>
              </w:rPr>
              <w:t>Cobertura de Extratos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774327AC" w14:textId="77777777" w:rsidR="000072F4" w:rsidRDefault="00000000">
            <w:pPr>
              <w:ind w:left="86"/>
            </w:pPr>
            <w:r>
              <w:rPr>
                <w:rFonts w:ascii="Arial" w:hAnsi="Arial"/>
                <w:color w:val="3C3C3C"/>
                <w:sz w:val="18"/>
              </w:rPr>
              <w:t>% dos débitos do contribuinte visíveis na plataforma</w:t>
            </w:r>
          </w:p>
        </w:tc>
        <w:tc>
          <w:tcPr>
            <w:tcW w:w="3024" w:type="dxa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</w:tcBorders>
            <w:shd w:val="clear" w:color="auto" w:fill="FFFFFF"/>
          </w:tcPr>
          <w:p w14:paraId="6655F49B" w14:textId="77777777" w:rsidR="000072F4" w:rsidRDefault="00000000">
            <w:pPr>
              <w:ind w:left="86"/>
            </w:pPr>
            <w:r>
              <w:rPr>
                <w:rFonts w:ascii="Arial" w:hAnsi="Arial"/>
                <w:b/>
                <w:color w:val="1B2A4A"/>
                <w:sz w:val="18"/>
              </w:rPr>
              <w:t>&gt; 90% dos débitos municipais no piloto Curitiba</w:t>
            </w:r>
          </w:p>
        </w:tc>
      </w:tr>
    </w:tbl>
    <w:p w14:paraId="31C861CC" w14:textId="77777777" w:rsidR="000072F4" w:rsidRDefault="000072F4"/>
    <w:p w14:paraId="6F5CABF1" w14:textId="77777777" w:rsidR="000072F4" w:rsidRDefault="00000000">
      <w:pPr>
        <w:pBdr>
          <w:left w:val="single" w:sz="32" w:space="8" w:color="155FBF"/>
        </w:pBdr>
        <w:shd w:val="clear" w:color="auto" w:fill="D6E4F7"/>
        <w:spacing w:before="160" w:after="0"/>
        <w:ind w:left="288"/>
      </w:pPr>
      <w:r>
        <w:rPr>
          <w:rFonts w:ascii="Arial" w:hAnsi="Arial"/>
          <w:b/>
          <w:color w:val="1B2A4A"/>
          <w:sz w:val="20"/>
        </w:rPr>
        <w:t>Próximo Passo Imediato:</w:t>
      </w:r>
    </w:p>
    <w:p w14:paraId="513D3EC7" w14:textId="77777777" w:rsidR="000072F4" w:rsidRDefault="00000000">
      <w:pPr>
        <w:pBdr>
          <w:left w:val="single" w:sz="32" w:space="8" w:color="155FBF"/>
        </w:pBdr>
        <w:shd w:val="clear" w:color="auto" w:fill="D6E4F7"/>
        <w:spacing w:after="160"/>
        <w:ind w:left="288"/>
      </w:pPr>
      <w:r>
        <w:rPr>
          <w:rFonts w:ascii="Arial" w:hAnsi="Arial"/>
          <w:color w:val="3C3C3C"/>
          <w:sz w:val="20"/>
        </w:rPr>
        <w:t>Apresentar esta proposta de arquitetura à equipe técnica da CELEPAR e SERPRO para validação da viabilidade das integrações e definição do ambiente de homologação compartilhado. Paralelamente, iniciar o processo de Termo de Cooperação Técnica com cláusula de compartilhamento de dados fiscais, com parecer da AGU sobre a base legal LGPD.</w:t>
      </w:r>
    </w:p>
    <w:sectPr w:rsidR="000072F4" w:rsidSect="00034616">
      <w:headerReference w:type="default" r:id="rId8"/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6EFD5" w14:textId="77777777" w:rsidR="00C62FEB" w:rsidRDefault="00C62FEB">
      <w:pPr>
        <w:spacing w:after="0" w:line="240" w:lineRule="auto"/>
      </w:pPr>
      <w:r>
        <w:separator/>
      </w:r>
    </w:p>
  </w:endnote>
  <w:endnote w:type="continuationSeparator" w:id="0">
    <w:p w14:paraId="61B2CF5A" w14:textId="77777777" w:rsidR="00C62FEB" w:rsidRDefault="00C62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CC29" w14:textId="5D4E0A17" w:rsidR="000072F4" w:rsidRPr="00874A27" w:rsidRDefault="00874A27" w:rsidP="00874A27">
    <w:pPr>
      <w:pStyle w:val="Rodap"/>
    </w:pPr>
    <w:r w:rsidRPr="00874A27">
      <w:rPr>
        <w:rFonts w:ascii="Arial" w:hAnsi="Arial"/>
        <w:color w:val="808080"/>
        <w:sz w:val="16"/>
      </w:rPr>
      <w:t xml:space="preserve">AVISO DE CONFIDENCIALIDADE E NÃO CONCORRÊNCIA - Este </w:t>
    </w:r>
    <w:proofErr w:type="spellStart"/>
    <w:r w:rsidRPr="00874A27">
      <w:rPr>
        <w:rFonts w:ascii="Arial" w:hAnsi="Arial"/>
        <w:color w:val="808080"/>
        <w:sz w:val="16"/>
      </w:rPr>
      <w:t>documento</w:t>
    </w:r>
    <w:proofErr w:type="spellEnd"/>
    <w:r w:rsidRPr="00874A27">
      <w:rPr>
        <w:rFonts w:ascii="Arial" w:hAnsi="Arial"/>
        <w:color w:val="808080"/>
        <w:sz w:val="16"/>
      </w:rPr>
      <w:t xml:space="preserve"> e as </w:t>
    </w:r>
    <w:proofErr w:type="spellStart"/>
    <w:r w:rsidRPr="00874A27">
      <w:rPr>
        <w:rFonts w:ascii="Arial" w:hAnsi="Arial"/>
        <w:color w:val="808080"/>
        <w:sz w:val="16"/>
      </w:rPr>
      <w:t>informações</w:t>
    </w:r>
    <w:proofErr w:type="spellEnd"/>
    <w:r w:rsidRPr="00874A27">
      <w:rPr>
        <w:rFonts w:ascii="Arial" w:hAnsi="Arial"/>
        <w:color w:val="808080"/>
        <w:sz w:val="16"/>
      </w:rPr>
      <w:t xml:space="preserve"> </w:t>
    </w:r>
    <w:proofErr w:type="spellStart"/>
    <w:r w:rsidRPr="00874A27">
      <w:rPr>
        <w:rFonts w:ascii="Arial" w:hAnsi="Arial"/>
        <w:color w:val="808080"/>
        <w:sz w:val="16"/>
      </w:rPr>
      <w:t>nele</w:t>
    </w:r>
    <w:proofErr w:type="spellEnd"/>
    <w:r w:rsidRPr="00874A27">
      <w:rPr>
        <w:rFonts w:ascii="Arial" w:hAnsi="Arial"/>
        <w:color w:val="808080"/>
        <w:sz w:val="16"/>
      </w:rPr>
      <w:t xml:space="preserve"> </w:t>
    </w:r>
    <w:proofErr w:type="spellStart"/>
    <w:r w:rsidRPr="00874A27">
      <w:rPr>
        <w:rFonts w:ascii="Arial" w:hAnsi="Arial"/>
        <w:color w:val="808080"/>
        <w:sz w:val="16"/>
      </w:rPr>
      <w:t>contidas</w:t>
    </w:r>
    <w:proofErr w:type="spellEnd"/>
    <w:r w:rsidRPr="00874A27">
      <w:rPr>
        <w:rFonts w:ascii="Arial" w:hAnsi="Arial"/>
        <w:color w:val="808080"/>
        <w:sz w:val="16"/>
      </w:rPr>
      <w:t xml:space="preserve"> </w:t>
    </w:r>
    <w:proofErr w:type="spellStart"/>
    <w:r w:rsidRPr="00874A27">
      <w:rPr>
        <w:rFonts w:ascii="Arial" w:hAnsi="Arial"/>
        <w:color w:val="808080"/>
        <w:sz w:val="16"/>
      </w:rPr>
      <w:t>são</w:t>
    </w:r>
    <w:proofErr w:type="spellEnd"/>
    <w:r w:rsidRPr="00874A27">
      <w:rPr>
        <w:rFonts w:ascii="Arial" w:hAnsi="Arial"/>
        <w:color w:val="808080"/>
        <w:sz w:val="16"/>
      </w:rPr>
      <w:t xml:space="preserve"> de </w:t>
    </w:r>
    <w:proofErr w:type="spellStart"/>
    <w:r w:rsidRPr="00874A27">
      <w:rPr>
        <w:rFonts w:ascii="Arial" w:hAnsi="Arial"/>
        <w:color w:val="808080"/>
        <w:sz w:val="16"/>
      </w:rPr>
      <w:t>natureza</w:t>
    </w:r>
    <w:proofErr w:type="spellEnd"/>
    <w:r w:rsidRPr="00874A27">
      <w:rPr>
        <w:rFonts w:ascii="Arial" w:hAnsi="Arial"/>
        <w:color w:val="808080"/>
        <w:sz w:val="16"/>
      </w:rPr>
      <w:t xml:space="preserve"> </w:t>
    </w:r>
    <w:proofErr w:type="spellStart"/>
    <w:r w:rsidRPr="00874A27">
      <w:rPr>
        <w:rFonts w:ascii="Arial" w:hAnsi="Arial"/>
        <w:color w:val="808080"/>
        <w:sz w:val="16"/>
      </w:rPr>
      <w:t>estritamente</w:t>
    </w:r>
    <w:proofErr w:type="spellEnd"/>
    <w:r w:rsidRPr="00874A27">
      <w:rPr>
        <w:rFonts w:ascii="Arial" w:hAnsi="Arial"/>
        <w:color w:val="808080"/>
        <w:sz w:val="16"/>
      </w:rPr>
      <w:t xml:space="preserve"> </w:t>
    </w:r>
    <w:proofErr w:type="spellStart"/>
    <w:r w:rsidRPr="00874A27">
      <w:rPr>
        <w:rFonts w:ascii="Arial" w:hAnsi="Arial"/>
        <w:color w:val="808080"/>
        <w:sz w:val="16"/>
      </w:rPr>
      <w:t>confidencial</w:t>
    </w:r>
    <w:proofErr w:type="spellEnd"/>
    <w:r w:rsidRPr="00874A27">
      <w:rPr>
        <w:rFonts w:ascii="Arial" w:hAnsi="Arial"/>
        <w:color w:val="808080"/>
        <w:sz w:val="16"/>
      </w:rPr>
      <w:t xml:space="preserve"> e </w:t>
    </w:r>
    <w:proofErr w:type="spellStart"/>
    <w:r w:rsidRPr="00874A27">
      <w:rPr>
        <w:rFonts w:ascii="Arial" w:hAnsi="Arial"/>
        <w:color w:val="808080"/>
        <w:sz w:val="16"/>
      </w:rPr>
      <w:t>proprietária</w:t>
    </w:r>
    <w:proofErr w:type="spellEnd"/>
    <w:r w:rsidRPr="00874A27">
      <w:rPr>
        <w:rFonts w:ascii="Arial" w:hAnsi="Arial"/>
        <w:color w:val="808080"/>
        <w:sz w:val="16"/>
      </w:rPr>
      <w:t xml:space="preserve"> da </w:t>
    </w:r>
    <w:proofErr w:type="spellStart"/>
    <w:r w:rsidRPr="00874A27">
      <w:rPr>
        <w:rFonts w:ascii="Arial" w:hAnsi="Arial"/>
        <w:color w:val="808080"/>
        <w:sz w:val="16"/>
      </w:rPr>
      <w:t>TorusLab</w:t>
    </w:r>
    <w:proofErr w:type="spellEnd"/>
    <w:r w:rsidRPr="00874A27">
      <w:rPr>
        <w:rFonts w:ascii="Arial" w:hAnsi="Arial"/>
        <w:color w:val="808080"/>
        <w:sz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DC135" w14:textId="77777777" w:rsidR="00C62FEB" w:rsidRDefault="00C62FEB">
      <w:pPr>
        <w:spacing w:after="0" w:line="240" w:lineRule="auto"/>
      </w:pPr>
      <w:r>
        <w:separator/>
      </w:r>
    </w:p>
  </w:footnote>
  <w:footnote w:type="continuationSeparator" w:id="0">
    <w:p w14:paraId="2A57F8B1" w14:textId="77777777" w:rsidR="00C62FEB" w:rsidRDefault="00C62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D6B08" w14:textId="3EE41589" w:rsidR="00874A27" w:rsidRDefault="00874A27" w:rsidP="00874A27">
    <w:pPr>
      <w:pStyle w:val="Cabealho"/>
      <w:jc w:val="center"/>
    </w:pPr>
    <w:r>
      <w:rPr>
        <w:noProof/>
      </w:rPr>
      <w:drawing>
        <wp:inline distT="0" distB="0" distL="0" distR="0" wp14:anchorId="4F1B0B3A" wp14:editId="01A91897">
          <wp:extent cx="1435261" cy="717631"/>
          <wp:effectExtent l="0" t="0" r="0" b="0"/>
          <wp:docPr id="133175432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1754324" name="Imagem 1331754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2973" cy="736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734227">
    <w:abstractNumId w:val="8"/>
  </w:num>
  <w:num w:numId="2" w16cid:durableId="625697030">
    <w:abstractNumId w:val="6"/>
  </w:num>
  <w:num w:numId="3" w16cid:durableId="1655063014">
    <w:abstractNumId w:val="5"/>
  </w:num>
  <w:num w:numId="4" w16cid:durableId="1709336985">
    <w:abstractNumId w:val="4"/>
  </w:num>
  <w:num w:numId="5" w16cid:durableId="122043621">
    <w:abstractNumId w:val="7"/>
  </w:num>
  <w:num w:numId="6" w16cid:durableId="11958564">
    <w:abstractNumId w:val="3"/>
  </w:num>
  <w:num w:numId="7" w16cid:durableId="988559828">
    <w:abstractNumId w:val="2"/>
  </w:num>
  <w:num w:numId="8" w16cid:durableId="1722436306">
    <w:abstractNumId w:val="1"/>
  </w:num>
  <w:num w:numId="9" w16cid:durableId="209408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F4"/>
    <w:rsid w:val="00034616"/>
    <w:rsid w:val="0006063C"/>
    <w:rsid w:val="0015074B"/>
    <w:rsid w:val="0029639D"/>
    <w:rsid w:val="00326F90"/>
    <w:rsid w:val="00874A27"/>
    <w:rsid w:val="00AA1D8D"/>
    <w:rsid w:val="00B47730"/>
    <w:rsid w:val="00B511A8"/>
    <w:rsid w:val="00C62F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22899E"/>
  <w14:defaultImageDpi w14:val="300"/>
  <w15:docId w15:val="{D449D67E-8FA6-724B-B0FB-D1262BFB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2531</Words>
  <Characters>13673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 OS</cp:lastModifiedBy>
  <cp:revision>2</cp:revision>
  <dcterms:created xsi:type="dcterms:W3CDTF">2013-12-23T23:15:00Z</dcterms:created>
  <dcterms:modified xsi:type="dcterms:W3CDTF">2026-04-05T15:37:00Z</dcterms:modified>
  <cp:category/>
</cp:coreProperties>
</file>