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101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@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Nicole Barbosa Dos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10/05/2005,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Edvaldo Barbosa Dos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Tânia Valéria Silva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Primeiro De Maio 128 Apto 41,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Aparecida,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11035-180,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2202-2527,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98828-2970,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101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Nicole Barbosa Dos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Tania Valéria Silva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Empresária,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18.401.768-3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530.706.784-44,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Primeiro De Maio 128 Apto 41,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Aparecida,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11035-180,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