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515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82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Acordeon: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Noemi Emiliano Santana.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72736682815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Wilson Izidoro Da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01/03/1950,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Sebastiâo Izidoro Da Silva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 Ana Maria De Jesus 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São Pedro  49,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Jd. Casqueiro,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11533-020,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Cubatão,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3329-0281,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98144-5434,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ACORDEON.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515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82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Wilson Izidoro Da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Acordeon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Wilson Izidoro Da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Aposentado,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734.027-5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727.366.828-15,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São Pedro  49,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Jd. Casqueiro,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11533-020,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Cubatão,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