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529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101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leilaclaro@gmail.com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Leila Claro Gouveia Carmo,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26/07/1988,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Cláudio Roberto Dos Santos Do Carmo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Jacirema Claro Gouvêa Do Carmo,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Marechal Floriano Peixoto 69 Apto 64,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Centro,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11320-100,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São Vicente,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3466-8438,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99153-7064,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529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101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Leila Claro Gouveia Carmo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Leila Claro Gouveia Carmo,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Professora,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44.264.661-6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369.490.048-93,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Marechal Floriano Peixoto 69 Apto 64,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Centro,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11320-100,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São Vicente,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