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541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115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Canto Profissional Básico Popular: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19:50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20:40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Carlos Roberto Ferraz.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Terças–feiras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19:50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Noemi Emiliano Santana.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gilsinho.samba050@gmail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Gilson Souza De Andrade,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25/06/1986,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Adilson Teixeira De Andrade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Gidalva De Jesus Souza,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Almirante Ernesto De Melo Júnior 227 Apto 201,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Macuco,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11015-360,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0000-0000,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97415-9282,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CANTO PROFISSIONAL BÁSICO POPULAR.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541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115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Gilson Souza De Andrade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Canto Profissional Básico Popular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Gilson Souza De Andrade,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Brasileiro,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Assistente De Logistica,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42.464.454-X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312.579.838-81,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Almirante Ernesto De Melo Júnior 227 Apto 201,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Macuco,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11015-360,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R$ 5.020,00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R$ 510,00,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