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553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vulgostavo@gmail.com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Gustavo Alencar Baptista,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28/06/1996,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Antonio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Patricia Alencar De Oliveira Baptista,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Avenida Faria Lima Nº 271 Bloco 13 Apto 14,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Vila Atlântica,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11730-000,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Mongaguá,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3507-5222,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99661-3119,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30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553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127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Gustavo Alencar Baptista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Gustavo Alencar Baptista,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Autônomo,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46.105.469-3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406.865.208-23,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Avenida Faria Lima Nº 271 Bloco 13 Apto 14,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Vila Atlântica,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11730-000,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Mongaguá,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30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