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560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135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fla-vii@hotmail.com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Flavia Leite Lima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22/08/1992,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Jackson Evangelista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Neide Leite Lima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Dr. Carlos Nerhing Nº 620,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Jardim Helena Maria,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11431-090,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Guarujá,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3355-6728,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99728-6353,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R$ 3.730,00,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11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14 de Fevereiro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560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135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Flavia Leite Lima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Flavia Leite Lima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Arquiteta,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45.740.983-6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420.730.278-65,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Dr. Carlos Nerhing Nº 620,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Jardim Helena Maria,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11431-090,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Guarujá,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R$ 3.730,00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10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FEVEREIRO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14 de Fevereiro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