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562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137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Teclado: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Sexta–feiras,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Raphael Fernandes Lopes Farias.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Sexta–feiras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Raphael Fernandes Lopes Farias.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renateix@gmail.com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Leonardo Pinto Teixeira,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09/11/2004,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Renato Teixeira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Silvia Helena De Almeida Pinto,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São José 108 Apto 32,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11040-200,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3271-8303,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99693-7769,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TECLADO.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R$ 3.510,00,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11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16 de Fevereiro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562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137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Leonardo Pinto Teixeira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Teclado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Renato Teixeira 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Anmalista De Sistemas,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1.876.782-0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108.344.708-45,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São José 108 Apto 32,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11040-200,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R$ 3.510,00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10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FEVEREIRO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16 de Fevereiro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