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Bateria: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Ronaldo José De Barros Freitas (Xima).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isabele.duarte@hotmail.com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Lisandra Miranda Duarte,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19/09/2011,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Cristiano De Sousa Duarte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Isabele Lisandra Parreira Miranda Duarte,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Aureliano Coutinho Nº 101 Apto 11,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3236-9012,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98183-2282,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BATERIA.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R$ 960,00,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4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05 de Setembro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565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169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Lisandra Miranda Duarte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Bateria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Isabele Lisandra Parreira Miranda Duarte,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2.495.944-4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134.010.438-54,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Aureliano Coutinho Nº 101 Apto 11,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R$ 960,00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R$ 315,00,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3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R$ 215,00,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SETEMBRO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05 de Setembro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