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568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Lucas Moraes De Souza.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antonioadauto987@gmail.com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Leonardo Kurozawa De Souza,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08/08/1997,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Antonio Adauto De Souza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Lourdes Miyuki Kurotori,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51,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3385-4586,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99794-4498,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R$ 3.400,00,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15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568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145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Leonardo Kurozawa De Souza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Lourdes Miyuki Kurotori,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955.569-8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008.800.398-17,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51,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R$ 3.400,00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15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