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574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152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Violão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Silvana Lazzarini.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Terças–feiras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18:10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wladsantos@hotmail.com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Hugo Pietro Peressin Pinela De Almeida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29/01/2006,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Wladimir De Almeida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Isadora Paloma Peressin Pinela,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Guaiaó 112 Apto 04,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Aparecida,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11035-260,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3231-1655,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99782-5042,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VIOLÃO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R$ 3.070,00,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9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18 de Abril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574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152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Hugo Pietro Peressin Pinela De Almeida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Violão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Benedito Joaquim Dos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Militar Da Reserva,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172.003.MMR-J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781.677.798-15,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Guaiaó 112 Apto 04,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Aparecida,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11035-260,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R$ 3.070,00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8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ABRIL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18 de Abril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