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154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Paulo César Dos Santos Luz.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14:50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neygamma@hotmail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Victor Sant'ana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20/11/1998,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Ney Gama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Silmara Sant'ana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Olimpia Sampaio 200 Casa 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Jardim Enseada 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11443-150,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Guarujá,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3371-5075,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99763-0245,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R$ 3.070,00,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9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25 de Abril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154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Victor Sant'ana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Sylmara Sant'ana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Secretária,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23.034.569-4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169.545.638-62,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Olimpia Sampaio 200 Casa 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Jardim Enseada 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11443-150,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Guarujá,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R$ 3.070,00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8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ABRIL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25 de Abril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