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edmir.branco@gmail.com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Edimir Branco Da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09/12/1943,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Sebastião Leite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Aparecida Branco Da Silva,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Oswaldo Cruz 525 Apto 72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3289-7997,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99711-1053,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R$ 2.740,00,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8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03 de Maio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Edimir Branco Da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Edmir Branco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3.026.977-5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020.794.538-15,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Oswaldo Cruz 525 Apto 72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R$ 2.740,00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7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MAIO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03 de Maio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