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marinheirofarah@gmail.com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Edna Nogueira Farah,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05/03/1949,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Nogueira Júnior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Aparecida Souza Nogueira,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 Presidente Wilson 114 Apto 63,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11065-200,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2202-1832,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(19) 98234-1111,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R$ 1.750,00,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5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03 de Agosto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583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163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Edna Nogueira Farah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Edna Nogueira Farah,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4.432.890-4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221.023.378-04,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 Presidente Wilson 114 Apto 63,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11065-200,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R$ 1.750,00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4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AGOSTO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03 de Agosto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