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Kelly Nunez Paulo Dos Santos.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mmpilnik@globo.com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Olívia Santos Pilnik,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25/10/2016,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Marcelo Pilnik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Marinela Brito Santos Pilnik,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Francisco Glicério 666 Apto 21,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11065-400,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3302-1660,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99711-9404,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R$ 1.340,00,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4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12 de Setembro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589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170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Olívia Santos Pilnik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Marcelo Pilnik,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26.147.543-5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293.711.948-47,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Francisco Glicério 666 Apto 21,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11065-400,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R$ 1.340,00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3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SETEMBRO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12 de Setembro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