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Kelly Nunez Paulo Dos Santos.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marcelo.gut@me.com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Helena Lopes Gut,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11/05/2016,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Marcelo Gut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Kathellin Tyenne Lopes Gut,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Maranhão 35 Apto 222,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Pompéia,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11065-410,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3324-8059,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98144-8844,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R$ 1.340,00,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4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12 de Setembro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Helena Lopes Gut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Marcelo Gut,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Investidor,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6.496.815-7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134.047.568-51,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Maranhão 35 Apto 222,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Pompéia,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11065-410,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R$ 1.340,00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3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SETEMBRO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12 de Setembro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