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Kelly Nunez Paulo Dos Santos.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misantos diegues@gmail.com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Rafael Santos Diegues Filho,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03/09/2016,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Rafael Santos Diegues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Michelle Santos Diegues,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Amélia Leutchemberg 80 Apto 212,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Ponta Da Praia,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11030-020,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3307-2974,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98807-5246,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R$ 1.340,00,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4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12 de Setembro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591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172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Rafael Santos Diegues Filho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Michelle  Santos Diegues 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Dentista,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33.824.234-x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223.278.478-93,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Amélia Leutchemberg 80 Apto 212,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Ponta Da Praia,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11030-020,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R$ 1.340,00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3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SETEMBRO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12 de Setembro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