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180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sandrassil77@outlook.com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Sandra Maria Da Silva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28/04/1997,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Neto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Francisca Vieira Da Silva E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Enseada 4 Nº 166,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Jd Rafael,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11250-000,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Bertioga,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(11) 99790-6115,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16 de Novembro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180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Sandra Maria Da Silva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Sandra Maria Da Silva E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Musicista,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27.778.816-X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259.822.588-06,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Enseada 4 Nº 166,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Jd Rafael,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11250-000,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Bertioga,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NOVEMBRO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16 de Novembro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