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100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antoniopb@hotmail.com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Larissa Gomes Peres Bomfim,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25/03/1999,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Antônio Pereira Bomfim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Carla Gomes Peres Bomfim,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Castro Alves 147,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11040-191,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3227-1120,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98119-0199,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100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Larissa Gomes Peres Bomfim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Antonio Pereira Bomfim,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Engenheiro,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11.847.645-2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182.885.984-42,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Castro Alves 147,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11040-191,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